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8CB1" w14:textId="77777777" w:rsidR="00EB6884" w:rsidRPr="00784EEE" w:rsidRDefault="00EB6884" w:rsidP="00EB6884">
      <w:pPr>
        <w:jc w:val="center"/>
        <w:rPr>
          <w:rFonts w:asciiTheme="majorBidi" w:hAnsiTheme="majorBidi" w:cs="Times New Roman (Headings CS)"/>
          <w:b/>
          <w:bCs/>
          <w:smallCaps/>
          <w:sz w:val="28"/>
          <w:szCs w:val="28"/>
        </w:rPr>
      </w:pPr>
      <w:r w:rsidRPr="00784EEE">
        <w:rPr>
          <w:rFonts w:asciiTheme="majorBidi" w:hAnsiTheme="majorBidi" w:cs="Times New Roman (Headings CS)"/>
          <w:b/>
          <w:bCs/>
          <w:smallCaps/>
          <w:sz w:val="28"/>
          <w:szCs w:val="28"/>
        </w:rPr>
        <w:t>Reserve Mechanical Corp v Comm:</w:t>
      </w:r>
    </w:p>
    <w:p w14:paraId="31143ACB" w14:textId="21D94006" w:rsidR="00EB6884" w:rsidRPr="00784EEE" w:rsidRDefault="00F40AC3" w:rsidP="00EB6884">
      <w:pPr>
        <w:jc w:val="center"/>
        <w:rPr>
          <w:rFonts w:asciiTheme="majorBidi" w:hAnsiTheme="majorBidi" w:cs="Times New Roman (Headings CS)"/>
          <w:b/>
          <w:bCs/>
          <w:smallCaps/>
          <w:sz w:val="28"/>
          <w:szCs w:val="28"/>
        </w:rPr>
      </w:pPr>
      <w:r>
        <w:rPr>
          <w:rFonts w:asciiTheme="majorBidi" w:hAnsiTheme="majorBidi" w:cs="Times New Roman (Headings CS)"/>
          <w:b/>
          <w:bCs/>
          <w:smallCaps/>
          <w:sz w:val="28"/>
          <w:szCs w:val="28"/>
        </w:rPr>
        <w:t>A</w:t>
      </w:r>
      <w:r w:rsidR="00EB6884" w:rsidRPr="00784EEE">
        <w:rPr>
          <w:rFonts w:asciiTheme="majorBidi" w:hAnsiTheme="majorBidi" w:cs="Times New Roman (Headings CS)"/>
          <w:b/>
          <w:bCs/>
          <w:smallCaps/>
          <w:sz w:val="28"/>
          <w:szCs w:val="28"/>
        </w:rPr>
        <w:t xml:space="preserve"> </w:t>
      </w:r>
      <w:r w:rsidR="00EB6884">
        <w:rPr>
          <w:rFonts w:asciiTheme="majorBidi" w:hAnsiTheme="majorBidi" w:cs="Times New Roman (Headings CS)"/>
          <w:b/>
          <w:bCs/>
          <w:smallCaps/>
          <w:sz w:val="28"/>
          <w:szCs w:val="28"/>
        </w:rPr>
        <w:t xml:space="preserve">Potential Death Knell for </w:t>
      </w:r>
      <w:r w:rsidR="00EB6884" w:rsidRPr="00784EEE">
        <w:rPr>
          <w:rFonts w:asciiTheme="majorBidi" w:hAnsiTheme="majorBidi" w:cs="Times New Roman (Headings CS)"/>
          <w:b/>
          <w:bCs/>
          <w:smallCaps/>
          <w:sz w:val="28"/>
          <w:szCs w:val="28"/>
        </w:rPr>
        <w:t>Aggressive Captive Insurance</w:t>
      </w:r>
    </w:p>
    <w:p w14:paraId="494F8BDD" w14:textId="77777777" w:rsidR="003025E3" w:rsidRPr="004928AD" w:rsidRDefault="003025E3" w:rsidP="003025E3">
      <w:pPr>
        <w:jc w:val="center"/>
        <w:rPr>
          <w:rFonts w:asciiTheme="majorBidi" w:hAnsiTheme="majorBidi" w:cstheme="majorBidi"/>
          <w:b/>
          <w:bCs/>
          <w:color w:val="000000" w:themeColor="text1"/>
        </w:rPr>
      </w:pPr>
    </w:p>
    <w:p w14:paraId="0BB57C86" w14:textId="2805B2DF" w:rsidR="007930DA" w:rsidRPr="00851106" w:rsidRDefault="003025E3" w:rsidP="003025E3">
      <w:pPr>
        <w:tabs>
          <w:tab w:val="left" w:pos="720"/>
        </w:tabs>
        <w:jc w:val="center"/>
        <w:rPr>
          <w:rFonts w:ascii="Times New Roman" w:hAnsi="Times New Roman" w:cs="Times New Roman"/>
          <w:b/>
          <w:color w:val="000000" w:themeColor="text1"/>
        </w:rPr>
      </w:pPr>
      <w:r w:rsidRPr="00851106">
        <w:rPr>
          <w:rFonts w:ascii="Times New Roman" w:hAnsi="Times New Roman" w:cs="Times New Roman"/>
          <w:b/>
          <w:color w:val="000000" w:themeColor="text1"/>
        </w:rPr>
        <w:t>Beckett Cantley</w:t>
      </w:r>
      <w:r w:rsidR="007930DA" w:rsidRPr="00851106">
        <w:rPr>
          <w:rStyle w:val="EndnoteReference"/>
          <w:rFonts w:ascii="Times New Roman" w:hAnsi="Times New Roman" w:cs="Times New Roman"/>
          <w:b/>
          <w:color w:val="000000" w:themeColor="text1"/>
        </w:rPr>
        <w:endnoteReference w:id="1"/>
      </w:r>
      <w:r w:rsidR="007930DA" w:rsidRPr="00851106">
        <w:rPr>
          <w:rFonts w:ascii="Times New Roman" w:hAnsi="Times New Roman" w:cs="Times New Roman"/>
          <w:b/>
          <w:color w:val="000000" w:themeColor="text1"/>
        </w:rPr>
        <w:t xml:space="preserve"> </w:t>
      </w:r>
    </w:p>
    <w:p w14:paraId="4C76CEFC" w14:textId="77777777" w:rsidR="007930DA" w:rsidRDefault="007930DA" w:rsidP="003025E3">
      <w:pPr>
        <w:tabs>
          <w:tab w:val="left" w:pos="720"/>
        </w:tabs>
        <w:jc w:val="center"/>
        <w:rPr>
          <w:rFonts w:ascii="Times New Roman" w:hAnsi="Times New Roman" w:cs="Times New Roman"/>
          <w:b/>
          <w:color w:val="000000" w:themeColor="text1"/>
        </w:rPr>
      </w:pPr>
      <w:r w:rsidRPr="00851106">
        <w:rPr>
          <w:rFonts w:ascii="Times New Roman" w:hAnsi="Times New Roman" w:cs="Times New Roman"/>
          <w:b/>
          <w:color w:val="000000" w:themeColor="text1"/>
        </w:rPr>
        <w:t>Geoffrey Dietrich</w:t>
      </w:r>
      <w:r w:rsidRPr="00851106">
        <w:rPr>
          <w:rStyle w:val="EndnoteReference"/>
          <w:rFonts w:ascii="Times New Roman" w:hAnsi="Times New Roman" w:cs="Times New Roman"/>
          <w:b/>
          <w:color w:val="000000" w:themeColor="text1"/>
        </w:rPr>
        <w:endnoteReference w:id="2"/>
      </w:r>
    </w:p>
    <w:p w14:paraId="7B6CBDCB" w14:textId="15BA0511" w:rsidR="007930DA" w:rsidRDefault="007930DA" w:rsidP="00127C8B">
      <w:pPr>
        <w:spacing w:line="480" w:lineRule="auto"/>
        <w:ind w:firstLine="720"/>
        <w:jc w:val="both"/>
        <w:rPr>
          <w:rFonts w:asciiTheme="majorBidi" w:hAnsiTheme="majorBidi" w:cstheme="majorBidi"/>
        </w:rPr>
      </w:pPr>
    </w:p>
    <w:p w14:paraId="7E8A7B3F" w14:textId="18C0FC10" w:rsidR="00070211" w:rsidRDefault="007930DA" w:rsidP="00070211">
      <w:pPr>
        <w:spacing w:line="480" w:lineRule="auto"/>
        <w:ind w:firstLine="720"/>
        <w:jc w:val="both"/>
        <w:rPr>
          <w:rFonts w:asciiTheme="majorBidi" w:hAnsiTheme="majorBidi" w:cstheme="majorBidi"/>
        </w:rPr>
      </w:pPr>
      <w:r>
        <w:rPr>
          <w:rFonts w:asciiTheme="majorBidi" w:hAnsiTheme="majorBidi" w:cstheme="majorBidi"/>
        </w:rPr>
        <w:t>This article provides an overview of the May 13</w:t>
      </w:r>
      <w:r w:rsidRPr="00A55DEF">
        <w:rPr>
          <w:rFonts w:asciiTheme="majorBidi" w:hAnsiTheme="majorBidi" w:cstheme="majorBidi"/>
          <w:vertAlign w:val="superscript"/>
        </w:rPr>
        <w:t>th</w:t>
      </w:r>
      <w:r>
        <w:rPr>
          <w:rFonts w:asciiTheme="majorBidi" w:hAnsiTheme="majorBidi" w:cstheme="majorBidi"/>
        </w:rPr>
        <w:t xml:space="preserve">, 2022, U.S. Tenth Circuit Court of Appeals decision in </w:t>
      </w:r>
      <w:r>
        <w:rPr>
          <w:rFonts w:asciiTheme="majorBidi" w:hAnsiTheme="majorBidi" w:cstheme="majorBidi"/>
          <w:i/>
          <w:iCs/>
        </w:rPr>
        <w:t>Reserve Mechanical Corp. v. Commissioner</w:t>
      </w:r>
      <w:r>
        <w:rPr>
          <w:rFonts w:asciiTheme="majorBidi" w:hAnsiTheme="majorBidi" w:cstheme="majorBidi"/>
        </w:rPr>
        <w:t>,</w:t>
      </w:r>
      <w:r>
        <w:rPr>
          <w:rStyle w:val="EndnoteReference"/>
          <w:rFonts w:asciiTheme="majorBidi" w:hAnsiTheme="majorBidi" w:cstheme="majorBidi"/>
        </w:rPr>
        <w:endnoteReference w:id="3"/>
      </w:r>
      <w:r>
        <w:rPr>
          <w:rFonts w:asciiTheme="majorBidi" w:hAnsiTheme="majorBidi" w:cstheme="majorBidi"/>
        </w:rPr>
        <w:t xml:space="preserve"> </w:t>
      </w:r>
      <w:r w:rsidR="00070211">
        <w:rPr>
          <w:rFonts w:asciiTheme="majorBidi" w:hAnsiTheme="majorBidi" w:cstheme="majorBidi"/>
        </w:rPr>
        <w:t xml:space="preserve">and analyzes its likely impact on the aggressive captive insurance company (“CIC”) industry. A much longer and broader discussion of this topic will be published in our forthcoming article in the U.C. Davis Business Law Journal.  </w:t>
      </w:r>
    </w:p>
    <w:p w14:paraId="2B843D43" w14:textId="357883AC" w:rsidR="000659EC" w:rsidRPr="000659EC" w:rsidRDefault="000659EC" w:rsidP="000659EC">
      <w:pPr>
        <w:spacing w:line="480" w:lineRule="auto"/>
        <w:jc w:val="both"/>
        <w:rPr>
          <w:rFonts w:asciiTheme="majorBidi" w:hAnsiTheme="majorBidi" w:cstheme="majorBidi"/>
          <w:i/>
          <w:iCs/>
          <w:u w:val="single"/>
        </w:rPr>
      </w:pPr>
      <w:r w:rsidRPr="000659EC">
        <w:rPr>
          <w:rFonts w:asciiTheme="majorBidi" w:hAnsiTheme="majorBidi" w:cstheme="majorBidi"/>
          <w:i/>
          <w:iCs/>
          <w:u w:val="single"/>
        </w:rPr>
        <w:t>Introduction</w:t>
      </w:r>
    </w:p>
    <w:p w14:paraId="6C71EEA9" w14:textId="44AED42B" w:rsidR="000659EC" w:rsidRDefault="00437676" w:rsidP="00012CB8">
      <w:pPr>
        <w:spacing w:line="480" w:lineRule="auto"/>
        <w:ind w:firstLine="720"/>
        <w:jc w:val="both"/>
        <w:rPr>
          <w:rFonts w:asciiTheme="majorBidi" w:hAnsiTheme="majorBidi" w:cstheme="majorBidi"/>
        </w:rPr>
      </w:pPr>
      <w:r>
        <w:rPr>
          <w:rFonts w:asciiTheme="majorBidi" w:hAnsiTheme="majorBidi" w:cstheme="majorBidi"/>
        </w:rPr>
        <w:t>A storm has been brewing in the tax world, and there may be no safe harbor in sight for participants in aggressive captive insurance schemes. On May 13</w:t>
      </w:r>
      <w:r w:rsidRPr="00437676">
        <w:rPr>
          <w:rFonts w:asciiTheme="majorBidi" w:hAnsiTheme="majorBidi" w:cstheme="majorBidi"/>
          <w:vertAlign w:val="superscript"/>
        </w:rPr>
        <w:t>th</w:t>
      </w:r>
      <w:r>
        <w:rPr>
          <w:rFonts w:asciiTheme="majorBidi" w:hAnsiTheme="majorBidi" w:cstheme="majorBidi"/>
        </w:rPr>
        <w:t>, 2022, the U.S. Tenth Circuit Court of Appeals handed down a major defeat to one of these aggressive captive insurance schemes.</w:t>
      </w:r>
      <w:r w:rsidR="00D84A2E">
        <w:rPr>
          <w:rStyle w:val="EndnoteReference"/>
          <w:rFonts w:asciiTheme="majorBidi" w:hAnsiTheme="majorBidi" w:cstheme="majorBidi"/>
        </w:rPr>
        <w:endnoteReference w:id="4"/>
      </w:r>
      <w:r>
        <w:rPr>
          <w:rFonts w:asciiTheme="majorBidi" w:hAnsiTheme="majorBidi" w:cstheme="majorBidi"/>
        </w:rPr>
        <w:t xml:space="preserve"> In a landmark case, </w:t>
      </w:r>
      <w:r>
        <w:rPr>
          <w:rFonts w:asciiTheme="majorBidi" w:hAnsiTheme="majorBidi" w:cstheme="majorBidi"/>
          <w:i/>
          <w:iCs/>
        </w:rPr>
        <w:t>Reserve Mechanical v. Commissioner</w:t>
      </w:r>
      <w:r>
        <w:rPr>
          <w:rFonts w:asciiTheme="majorBidi" w:hAnsiTheme="majorBidi" w:cstheme="majorBidi"/>
        </w:rPr>
        <w:t>,</w:t>
      </w:r>
      <w:r w:rsidR="006A2036">
        <w:rPr>
          <w:rStyle w:val="EndnoteReference"/>
          <w:rFonts w:asciiTheme="majorBidi" w:hAnsiTheme="majorBidi" w:cstheme="majorBidi"/>
        </w:rPr>
        <w:endnoteReference w:id="5"/>
      </w:r>
      <w:r>
        <w:rPr>
          <w:rFonts w:asciiTheme="majorBidi" w:hAnsiTheme="majorBidi" w:cstheme="majorBidi"/>
        </w:rPr>
        <w:t xml:space="preserve"> the Court found that the transactions that the </w:t>
      </w:r>
      <w:r w:rsidR="00B47E49">
        <w:rPr>
          <w:rFonts w:asciiTheme="majorBidi" w:hAnsiTheme="majorBidi" w:cstheme="majorBidi"/>
        </w:rPr>
        <w:t>CI</w:t>
      </w:r>
      <w:r w:rsidR="00012CB8">
        <w:rPr>
          <w:rFonts w:asciiTheme="majorBidi" w:hAnsiTheme="majorBidi" w:cstheme="majorBidi"/>
        </w:rPr>
        <w:t>C</w:t>
      </w:r>
      <w:r w:rsidR="00B47E49">
        <w:rPr>
          <w:rFonts w:asciiTheme="majorBidi" w:hAnsiTheme="majorBidi" w:cstheme="majorBidi"/>
        </w:rPr>
        <w:t xml:space="preserve"> </w:t>
      </w:r>
      <w:r>
        <w:rPr>
          <w:rFonts w:asciiTheme="majorBidi" w:hAnsiTheme="majorBidi" w:cstheme="majorBidi"/>
        </w:rPr>
        <w:t>Reserve Mechanical had engaged in were not insurance and therefore Reserve Mechanical was not an insurance company. As a result, Reserve Mechanical could not take advantage of the federal income tax exemption under Internal Revenue Code (</w:t>
      </w:r>
      <w:r w:rsidR="00B47E49">
        <w:rPr>
          <w:rFonts w:asciiTheme="majorBidi" w:hAnsiTheme="majorBidi" w:cstheme="majorBidi"/>
        </w:rPr>
        <w:t>“</w:t>
      </w:r>
      <w:r>
        <w:rPr>
          <w:rFonts w:asciiTheme="majorBidi" w:hAnsiTheme="majorBidi" w:cstheme="majorBidi"/>
        </w:rPr>
        <w:t>IRC</w:t>
      </w:r>
      <w:r w:rsidR="00B47E49">
        <w:rPr>
          <w:rFonts w:asciiTheme="majorBidi" w:hAnsiTheme="majorBidi" w:cstheme="majorBidi"/>
        </w:rPr>
        <w:t>”</w:t>
      </w:r>
      <w:r>
        <w:rPr>
          <w:rFonts w:asciiTheme="majorBidi" w:hAnsiTheme="majorBidi" w:cstheme="majorBidi"/>
        </w:rPr>
        <w:t>) Section 501(c)(15)</w:t>
      </w:r>
      <w:r w:rsidR="00127C8B">
        <w:rPr>
          <w:rFonts w:asciiTheme="majorBidi" w:hAnsiTheme="majorBidi" w:cstheme="majorBidi"/>
        </w:rPr>
        <w:t xml:space="preserve">. This tax exemption allows a </w:t>
      </w:r>
      <w:r w:rsidR="00B47E49">
        <w:rPr>
          <w:rFonts w:asciiTheme="majorBidi" w:hAnsiTheme="majorBidi" w:cstheme="majorBidi"/>
        </w:rPr>
        <w:t xml:space="preserve">CIC </w:t>
      </w:r>
      <w:r w:rsidR="00127C8B">
        <w:rPr>
          <w:rFonts w:asciiTheme="majorBidi" w:hAnsiTheme="majorBidi" w:cstheme="majorBidi"/>
        </w:rPr>
        <w:t>to not pay tax on whatever premiums are paid to it, up to a certain threshold.</w:t>
      </w:r>
      <w:r w:rsidR="00920E3C">
        <w:rPr>
          <w:rStyle w:val="EndnoteReference"/>
          <w:rFonts w:asciiTheme="majorBidi" w:hAnsiTheme="majorBidi" w:cstheme="majorBidi"/>
        </w:rPr>
        <w:endnoteReference w:id="6"/>
      </w:r>
      <w:r w:rsidR="00127C8B">
        <w:rPr>
          <w:rFonts w:asciiTheme="majorBidi" w:hAnsiTheme="majorBidi" w:cstheme="majorBidi"/>
        </w:rPr>
        <w:t xml:space="preserve"> Tax </w:t>
      </w:r>
      <w:r w:rsidR="00B47E49">
        <w:rPr>
          <w:rFonts w:asciiTheme="majorBidi" w:hAnsiTheme="majorBidi" w:cstheme="majorBidi"/>
        </w:rPr>
        <w:t>planners</w:t>
      </w:r>
      <w:r w:rsidR="00127C8B">
        <w:rPr>
          <w:rFonts w:asciiTheme="majorBidi" w:hAnsiTheme="majorBidi" w:cstheme="majorBidi"/>
        </w:rPr>
        <w:t xml:space="preserve"> would be paid to set up</w:t>
      </w:r>
      <w:r w:rsidR="00B47E49">
        <w:rPr>
          <w:rFonts w:asciiTheme="majorBidi" w:hAnsiTheme="majorBidi" w:cstheme="majorBidi"/>
        </w:rPr>
        <w:t xml:space="preserve"> CICs for business owners and the business owners would then </w:t>
      </w:r>
      <w:r w:rsidR="00127C8B">
        <w:rPr>
          <w:rFonts w:asciiTheme="majorBidi" w:hAnsiTheme="majorBidi" w:cstheme="majorBidi"/>
        </w:rPr>
        <w:t>pay premiums to</w:t>
      </w:r>
      <w:r w:rsidR="00B47E49">
        <w:rPr>
          <w:rFonts w:asciiTheme="majorBidi" w:hAnsiTheme="majorBidi" w:cstheme="majorBidi"/>
        </w:rPr>
        <w:t xml:space="preserve"> the new CIC while the CIC </w:t>
      </w:r>
      <w:r w:rsidR="00127C8B">
        <w:rPr>
          <w:rFonts w:asciiTheme="majorBidi" w:hAnsiTheme="majorBidi" w:cstheme="majorBidi"/>
        </w:rPr>
        <w:t>book</w:t>
      </w:r>
      <w:r w:rsidR="00B47E49">
        <w:rPr>
          <w:rFonts w:asciiTheme="majorBidi" w:hAnsiTheme="majorBidi" w:cstheme="majorBidi"/>
        </w:rPr>
        <w:t>s</w:t>
      </w:r>
      <w:r w:rsidR="00127C8B">
        <w:rPr>
          <w:rFonts w:asciiTheme="majorBidi" w:hAnsiTheme="majorBidi" w:cstheme="majorBidi"/>
        </w:rPr>
        <w:t xml:space="preserve"> those premiums as tax exempt income. These premiums </w:t>
      </w:r>
      <w:r w:rsidR="00B47E49">
        <w:rPr>
          <w:rFonts w:asciiTheme="majorBidi" w:hAnsiTheme="majorBidi" w:cstheme="majorBidi"/>
        </w:rPr>
        <w:t>are</w:t>
      </w:r>
      <w:r w:rsidR="00127C8B">
        <w:rPr>
          <w:rFonts w:asciiTheme="majorBidi" w:hAnsiTheme="majorBidi" w:cstheme="majorBidi"/>
        </w:rPr>
        <w:t xml:space="preserve"> often determined without actuarial data and with a poorly produced risk pool consisting of other </w:t>
      </w:r>
      <w:r w:rsidR="00B47E49">
        <w:rPr>
          <w:rFonts w:asciiTheme="majorBidi" w:hAnsiTheme="majorBidi" w:cstheme="majorBidi"/>
        </w:rPr>
        <w:t>CIC</w:t>
      </w:r>
      <w:r w:rsidR="00127C8B">
        <w:rPr>
          <w:rFonts w:asciiTheme="majorBidi" w:hAnsiTheme="majorBidi" w:cstheme="majorBidi"/>
        </w:rPr>
        <w:t xml:space="preserve">s managed by the tax </w:t>
      </w:r>
      <w:r w:rsidR="00B47E49">
        <w:rPr>
          <w:rFonts w:asciiTheme="majorBidi" w:hAnsiTheme="majorBidi" w:cstheme="majorBidi"/>
        </w:rPr>
        <w:t xml:space="preserve">planners </w:t>
      </w:r>
      <w:r w:rsidR="00127C8B">
        <w:rPr>
          <w:rFonts w:asciiTheme="majorBidi" w:hAnsiTheme="majorBidi" w:cstheme="majorBidi"/>
        </w:rPr>
        <w:t>engaged in the scheme.</w:t>
      </w:r>
      <w:r w:rsidR="00920E3C">
        <w:rPr>
          <w:rStyle w:val="EndnoteReference"/>
          <w:rFonts w:asciiTheme="majorBidi" w:hAnsiTheme="majorBidi" w:cstheme="majorBidi"/>
        </w:rPr>
        <w:endnoteReference w:id="7"/>
      </w:r>
      <w:r w:rsidR="00127C8B">
        <w:rPr>
          <w:rFonts w:asciiTheme="majorBidi" w:hAnsiTheme="majorBidi" w:cstheme="majorBidi"/>
        </w:rPr>
        <w:t xml:space="preserve"> </w:t>
      </w:r>
    </w:p>
    <w:p w14:paraId="020E3E02" w14:textId="77777777" w:rsidR="00583243" w:rsidRDefault="00583243" w:rsidP="00012CB8">
      <w:pPr>
        <w:spacing w:line="480" w:lineRule="auto"/>
        <w:ind w:firstLine="720"/>
        <w:jc w:val="both"/>
        <w:rPr>
          <w:rFonts w:asciiTheme="majorBidi" w:hAnsiTheme="majorBidi" w:cstheme="majorBidi"/>
        </w:rPr>
      </w:pPr>
    </w:p>
    <w:p w14:paraId="626E5CE5" w14:textId="7FD63F11" w:rsidR="000659EC" w:rsidRPr="000659EC" w:rsidRDefault="000659EC" w:rsidP="000659EC">
      <w:pPr>
        <w:spacing w:line="480" w:lineRule="auto"/>
        <w:jc w:val="both"/>
        <w:rPr>
          <w:rFonts w:asciiTheme="majorBidi" w:hAnsiTheme="majorBidi" w:cstheme="majorBidi"/>
          <w:i/>
          <w:iCs/>
          <w:u w:val="single"/>
        </w:rPr>
      </w:pPr>
      <w:r w:rsidRPr="000659EC">
        <w:rPr>
          <w:rFonts w:asciiTheme="majorBidi" w:hAnsiTheme="majorBidi" w:cstheme="majorBidi"/>
          <w:i/>
          <w:iCs/>
          <w:u w:val="single"/>
        </w:rPr>
        <w:lastRenderedPageBreak/>
        <w:t>Benefits of CICs</w:t>
      </w:r>
    </w:p>
    <w:p w14:paraId="1438E34B" w14:textId="69DDB4FD" w:rsidR="00127C8B" w:rsidRDefault="00127C8B" w:rsidP="00127C8B">
      <w:pPr>
        <w:spacing w:line="480" w:lineRule="auto"/>
        <w:jc w:val="both"/>
        <w:rPr>
          <w:rFonts w:asciiTheme="majorBidi" w:hAnsiTheme="majorBidi" w:cstheme="majorBidi"/>
        </w:rPr>
      </w:pPr>
      <w:r>
        <w:rPr>
          <w:rFonts w:asciiTheme="majorBidi" w:hAnsiTheme="majorBidi" w:cstheme="majorBidi"/>
        </w:rPr>
        <w:tab/>
      </w:r>
      <w:r w:rsidR="00D61C6D">
        <w:rPr>
          <w:rFonts w:asciiTheme="majorBidi" w:hAnsiTheme="majorBidi" w:cstheme="majorBidi"/>
        </w:rPr>
        <w:t xml:space="preserve">With correct planning </w:t>
      </w:r>
      <w:r w:rsidR="0025331D">
        <w:rPr>
          <w:rFonts w:asciiTheme="majorBidi" w:hAnsiTheme="majorBidi" w:cstheme="majorBidi"/>
        </w:rPr>
        <w:t xml:space="preserve">CICs </w:t>
      </w:r>
      <w:r w:rsidR="00D61C6D">
        <w:rPr>
          <w:rFonts w:asciiTheme="majorBidi" w:hAnsiTheme="majorBidi" w:cstheme="majorBidi"/>
        </w:rPr>
        <w:t>stand to obtain favorable tax treatment under IRC Section</w:t>
      </w:r>
      <w:r w:rsidR="0025331D">
        <w:rPr>
          <w:rFonts w:asciiTheme="majorBidi" w:hAnsiTheme="majorBidi" w:cstheme="majorBidi"/>
        </w:rPr>
        <w:t>s</w:t>
      </w:r>
      <w:r w:rsidR="00D61C6D">
        <w:rPr>
          <w:rFonts w:asciiTheme="majorBidi" w:hAnsiTheme="majorBidi" w:cstheme="majorBidi"/>
        </w:rPr>
        <w:t xml:space="preserve"> 501(c)(15)</w:t>
      </w:r>
      <w:r w:rsidR="0025331D">
        <w:rPr>
          <w:rFonts w:asciiTheme="majorBidi" w:hAnsiTheme="majorBidi" w:cstheme="majorBidi"/>
        </w:rPr>
        <w:t xml:space="preserve"> and 831(b)</w:t>
      </w:r>
      <w:r w:rsidR="00D61C6D">
        <w:rPr>
          <w:rFonts w:asciiTheme="majorBidi" w:hAnsiTheme="majorBidi" w:cstheme="majorBidi"/>
        </w:rPr>
        <w:t>. This creates a tax exemption for insurance companies whose gross receipts for the tax year do not exceed $600,000</w:t>
      </w:r>
      <w:r w:rsidR="0025331D">
        <w:rPr>
          <w:rFonts w:asciiTheme="majorBidi" w:hAnsiTheme="majorBidi" w:cstheme="majorBidi"/>
        </w:rPr>
        <w:t xml:space="preserve"> under IRC Section 501(c)(15)</w:t>
      </w:r>
      <w:r w:rsidR="00CD7DB0">
        <w:rPr>
          <w:rStyle w:val="EndnoteReference"/>
          <w:rFonts w:asciiTheme="majorBidi" w:hAnsiTheme="majorBidi" w:cstheme="majorBidi"/>
        </w:rPr>
        <w:endnoteReference w:id="8"/>
      </w:r>
      <w:r w:rsidR="0025331D">
        <w:rPr>
          <w:rFonts w:asciiTheme="majorBidi" w:hAnsiTheme="majorBidi" w:cstheme="majorBidi"/>
        </w:rPr>
        <w:t xml:space="preserve"> or $2.3 Million under IRC Section 831(b)</w:t>
      </w:r>
      <w:r w:rsidR="00A270B8">
        <w:rPr>
          <w:rFonts w:asciiTheme="majorBidi" w:hAnsiTheme="majorBidi" w:cstheme="majorBidi"/>
        </w:rPr>
        <w:t>.</w:t>
      </w:r>
      <w:r w:rsidR="00920E3C">
        <w:rPr>
          <w:rStyle w:val="EndnoteReference"/>
          <w:rFonts w:asciiTheme="majorBidi" w:hAnsiTheme="majorBidi" w:cstheme="majorBidi"/>
        </w:rPr>
        <w:endnoteReference w:id="9"/>
      </w:r>
      <w:r w:rsidR="00D61C6D">
        <w:rPr>
          <w:rFonts w:asciiTheme="majorBidi" w:hAnsiTheme="majorBidi" w:cstheme="majorBidi"/>
        </w:rPr>
        <w:t xml:space="preserve"> </w:t>
      </w:r>
      <w:r w:rsidR="00C95BE8">
        <w:rPr>
          <w:rFonts w:asciiTheme="majorBidi" w:hAnsiTheme="majorBidi" w:cstheme="majorBidi"/>
        </w:rPr>
        <w:t xml:space="preserve">These exemptions are treated identically with the only difference being the level of exemption permitted under the statute. </w:t>
      </w:r>
      <w:r w:rsidR="00D61C6D">
        <w:rPr>
          <w:rFonts w:asciiTheme="majorBidi" w:hAnsiTheme="majorBidi" w:cstheme="majorBidi"/>
        </w:rPr>
        <w:t>The use of</w:t>
      </w:r>
      <w:r w:rsidR="00A63FD9">
        <w:rPr>
          <w:rFonts w:asciiTheme="majorBidi" w:hAnsiTheme="majorBidi" w:cstheme="majorBidi"/>
        </w:rPr>
        <w:t xml:space="preserve"> CICs</w:t>
      </w:r>
      <w:r w:rsidR="00D61C6D">
        <w:rPr>
          <w:rFonts w:asciiTheme="majorBidi" w:hAnsiTheme="majorBidi" w:cstheme="majorBidi"/>
        </w:rPr>
        <w:t xml:space="preserve"> for businesses with a true and real economic need for them does not, in and of itself, constitute an abusive tax transaction. </w:t>
      </w:r>
      <w:r w:rsidR="00DF17DA">
        <w:rPr>
          <w:rFonts w:asciiTheme="majorBidi" w:hAnsiTheme="majorBidi" w:cstheme="majorBidi"/>
        </w:rPr>
        <w:t>However, d</w:t>
      </w:r>
      <w:r w:rsidR="00D61C6D">
        <w:rPr>
          <w:rFonts w:asciiTheme="majorBidi" w:hAnsiTheme="majorBidi" w:cstheme="majorBidi"/>
        </w:rPr>
        <w:t xml:space="preserve">espite the </w:t>
      </w:r>
      <w:r w:rsidR="00DF17DA">
        <w:rPr>
          <w:rFonts w:asciiTheme="majorBidi" w:hAnsiTheme="majorBidi" w:cstheme="majorBidi"/>
        </w:rPr>
        <w:t xml:space="preserve">real economic circumstances that would call for the use of </w:t>
      </w:r>
      <w:r w:rsidR="00A63FD9">
        <w:rPr>
          <w:rFonts w:asciiTheme="majorBidi" w:hAnsiTheme="majorBidi" w:cstheme="majorBidi"/>
        </w:rPr>
        <w:t xml:space="preserve">CICs, </w:t>
      </w:r>
      <w:r w:rsidR="00DF17DA">
        <w:rPr>
          <w:rFonts w:asciiTheme="majorBidi" w:hAnsiTheme="majorBidi" w:cstheme="majorBidi"/>
        </w:rPr>
        <w:t>the practices of</w:t>
      </w:r>
      <w:r w:rsidR="00D00FA6">
        <w:rPr>
          <w:rFonts w:asciiTheme="majorBidi" w:hAnsiTheme="majorBidi" w:cstheme="majorBidi"/>
        </w:rPr>
        <w:t xml:space="preserve"> several</w:t>
      </w:r>
      <w:r w:rsidR="00DF17DA">
        <w:rPr>
          <w:rFonts w:asciiTheme="majorBidi" w:hAnsiTheme="majorBidi" w:cstheme="majorBidi"/>
        </w:rPr>
        <w:t xml:space="preserve"> tax p</w:t>
      </w:r>
      <w:r w:rsidR="00D00FA6">
        <w:rPr>
          <w:rFonts w:asciiTheme="majorBidi" w:hAnsiTheme="majorBidi" w:cstheme="majorBidi"/>
        </w:rPr>
        <w:t>lanners</w:t>
      </w:r>
      <w:r w:rsidR="00DF17DA">
        <w:rPr>
          <w:rFonts w:asciiTheme="majorBidi" w:hAnsiTheme="majorBidi" w:cstheme="majorBidi"/>
        </w:rPr>
        <w:t xml:space="preserve"> in the </w:t>
      </w:r>
      <w:r w:rsidR="00D00FA6">
        <w:rPr>
          <w:rFonts w:asciiTheme="majorBidi" w:hAnsiTheme="majorBidi" w:cstheme="majorBidi"/>
        </w:rPr>
        <w:t>CIC</w:t>
      </w:r>
      <w:r w:rsidR="00DF17DA">
        <w:rPr>
          <w:rFonts w:asciiTheme="majorBidi" w:hAnsiTheme="majorBidi" w:cstheme="majorBidi"/>
        </w:rPr>
        <w:t xml:space="preserve"> world have become flagrantly abusive. This abuse has </w:t>
      </w:r>
      <w:r w:rsidR="00D00FA6">
        <w:rPr>
          <w:rFonts w:asciiTheme="majorBidi" w:hAnsiTheme="majorBidi" w:cstheme="majorBidi"/>
        </w:rPr>
        <w:t xml:space="preserve">colored CICs in the IRS’ eyes such that </w:t>
      </w:r>
      <w:r w:rsidR="00DF17DA">
        <w:rPr>
          <w:rFonts w:asciiTheme="majorBidi" w:hAnsiTheme="majorBidi" w:cstheme="majorBidi"/>
        </w:rPr>
        <w:t xml:space="preserve">even those who have a very real need for the use of </w:t>
      </w:r>
      <w:r w:rsidR="00A63FD9">
        <w:rPr>
          <w:rFonts w:asciiTheme="majorBidi" w:hAnsiTheme="majorBidi" w:cstheme="majorBidi"/>
        </w:rPr>
        <w:t>CICs</w:t>
      </w:r>
      <w:r w:rsidR="00DF17DA">
        <w:rPr>
          <w:rFonts w:asciiTheme="majorBidi" w:hAnsiTheme="majorBidi" w:cstheme="majorBidi"/>
        </w:rPr>
        <w:t xml:space="preserve"> may become potential targets of IRS audits.</w:t>
      </w:r>
      <w:r w:rsidR="00920E3C">
        <w:rPr>
          <w:rStyle w:val="EndnoteReference"/>
          <w:rFonts w:asciiTheme="majorBidi" w:hAnsiTheme="majorBidi" w:cstheme="majorBidi"/>
        </w:rPr>
        <w:endnoteReference w:id="10"/>
      </w:r>
      <w:r w:rsidR="00DF17DA">
        <w:rPr>
          <w:rFonts w:asciiTheme="majorBidi" w:hAnsiTheme="majorBidi" w:cstheme="majorBidi"/>
        </w:rPr>
        <w:t xml:space="preserve"> </w:t>
      </w:r>
    </w:p>
    <w:p w14:paraId="797547D1" w14:textId="704E5420" w:rsidR="000659EC" w:rsidRPr="000659EC" w:rsidRDefault="000659EC" w:rsidP="00127C8B">
      <w:pPr>
        <w:spacing w:line="480" w:lineRule="auto"/>
        <w:jc w:val="both"/>
        <w:rPr>
          <w:rFonts w:asciiTheme="majorBidi" w:hAnsiTheme="majorBidi" w:cstheme="majorBidi"/>
          <w:i/>
          <w:iCs/>
          <w:u w:val="single"/>
        </w:rPr>
      </w:pPr>
      <w:r w:rsidRPr="000659EC">
        <w:rPr>
          <w:rFonts w:asciiTheme="majorBidi" w:hAnsiTheme="majorBidi" w:cstheme="majorBidi"/>
          <w:i/>
          <w:iCs/>
          <w:u w:val="single"/>
        </w:rPr>
        <w:t>The U.S. Tax Court Case</w:t>
      </w:r>
    </w:p>
    <w:p w14:paraId="13D790AF" w14:textId="318D4866" w:rsidR="00DF17DA" w:rsidRDefault="00DF17DA" w:rsidP="00127C8B">
      <w:pPr>
        <w:spacing w:line="480" w:lineRule="auto"/>
        <w:jc w:val="both"/>
        <w:rPr>
          <w:rFonts w:asciiTheme="majorBidi" w:hAnsiTheme="majorBidi" w:cstheme="majorBidi"/>
        </w:rPr>
      </w:pPr>
      <w:r>
        <w:rPr>
          <w:rFonts w:asciiTheme="majorBidi" w:hAnsiTheme="majorBidi" w:cstheme="majorBidi"/>
        </w:rPr>
        <w:tab/>
        <w:t xml:space="preserve">The original </w:t>
      </w:r>
      <w:r>
        <w:rPr>
          <w:rFonts w:asciiTheme="majorBidi" w:hAnsiTheme="majorBidi" w:cstheme="majorBidi"/>
          <w:i/>
          <w:iCs/>
        </w:rPr>
        <w:t xml:space="preserve">Reserve Mechanical Corp. v. The Commissioner </w:t>
      </w:r>
      <w:r>
        <w:rPr>
          <w:rFonts w:asciiTheme="majorBidi" w:hAnsiTheme="majorBidi" w:cstheme="majorBidi"/>
        </w:rPr>
        <w:t>case came down before the U.S. Tax Court on June 18</w:t>
      </w:r>
      <w:r w:rsidRPr="00DF17DA">
        <w:rPr>
          <w:rFonts w:asciiTheme="majorBidi" w:hAnsiTheme="majorBidi" w:cstheme="majorBidi"/>
          <w:vertAlign w:val="superscript"/>
        </w:rPr>
        <w:t>th</w:t>
      </w:r>
      <w:r>
        <w:rPr>
          <w:rFonts w:asciiTheme="majorBidi" w:hAnsiTheme="majorBidi" w:cstheme="majorBidi"/>
        </w:rPr>
        <w:t>, 2018.</w:t>
      </w:r>
      <w:r w:rsidR="00920E3C">
        <w:rPr>
          <w:rStyle w:val="EndnoteReference"/>
          <w:rFonts w:asciiTheme="majorBidi" w:hAnsiTheme="majorBidi" w:cstheme="majorBidi"/>
        </w:rPr>
        <w:endnoteReference w:id="11"/>
      </w:r>
      <w:r>
        <w:rPr>
          <w:rFonts w:asciiTheme="majorBidi" w:hAnsiTheme="majorBidi" w:cstheme="majorBidi"/>
        </w:rPr>
        <w:t xml:space="preserve"> Reserve Mechanical Corp</w:t>
      </w:r>
      <w:r w:rsidR="00A63FD9">
        <w:rPr>
          <w:rFonts w:asciiTheme="majorBidi" w:hAnsiTheme="majorBidi" w:cstheme="majorBidi"/>
        </w:rPr>
        <w:t xml:space="preserve"> (“Reserve”) was</w:t>
      </w:r>
      <w:r>
        <w:rPr>
          <w:rFonts w:asciiTheme="majorBidi" w:hAnsiTheme="majorBidi" w:cstheme="majorBidi"/>
        </w:rPr>
        <w:t xml:space="preserve"> a CIC </w:t>
      </w:r>
      <w:r w:rsidR="00A63FD9">
        <w:rPr>
          <w:rFonts w:asciiTheme="majorBidi" w:hAnsiTheme="majorBidi" w:cstheme="majorBidi"/>
        </w:rPr>
        <w:t xml:space="preserve">formed to insure Peak Mechanical &amp; Components Inc. (“Peak”). As a CIC, Reserve was owned by the same people that owned Peak. The three issues at hand in this case were </w:t>
      </w:r>
      <w:r w:rsidR="00AA2BE2">
        <w:rPr>
          <w:rFonts w:asciiTheme="majorBidi" w:hAnsiTheme="majorBidi" w:cstheme="majorBidi"/>
        </w:rPr>
        <w:t>(</w:t>
      </w:r>
      <w:r w:rsidR="00A63FD9">
        <w:rPr>
          <w:rFonts w:asciiTheme="majorBidi" w:hAnsiTheme="majorBidi" w:cstheme="majorBidi"/>
        </w:rPr>
        <w:t xml:space="preserve">1) whether the transactions that Reserve engaged </w:t>
      </w:r>
      <w:r w:rsidR="00ED1F6D">
        <w:rPr>
          <w:rFonts w:asciiTheme="majorBidi" w:hAnsiTheme="majorBidi" w:cstheme="majorBidi"/>
        </w:rPr>
        <w:t xml:space="preserve">in </w:t>
      </w:r>
      <w:r w:rsidR="00A63FD9">
        <w:rPr>
          <w:rFonts w:asciiTheme="majorBidi" w:hAnsiTheme="majorBidi" w:cstheme="majorBidi"/>
        </w:rPr>
        <w:t>were insurance</w:t>
      </w:r>
      <w:r w:rsidR="00ED1F6D">
        <w:rPr>
          <w:rFonts w:asciiTheme="majorBidi" w:hAnsiTheme="majorBidi" w:cstheme="majorBidi"/>
        </w:rPr>
        <w:t xml:space="preserve"> resulting in the right to the IRC Section 501(c)(15) exemption;</w:t>
      </w:r>
      <w:r w:rsidR="00A63FD9">
        <w:rPr>
          <w:rFonts w:asciiTheme="majorBidi" w:hAnsiTheme="majorBidi" w:cstheme="majorBidi"/>
        </w:rPr>
        <w:t xml:space="preserve"> </w:t>
      </w:r>
      <w:r w:rsidR="00AA2BE2">
        <w:rPr>
          <w:rFonts w:asciiTheme="majorBidi" w:hAnsiTheme="majorBidi" w:cstheme="majorBidi"/>
        </w:rPr>
        <w:t>(</w:t>
      </w:r>
      <w:r w:rsidR="00A63FD9">
        <w:rPr>
          <w:rFonts w:asciiTheme="majorBidi" w:hAnsiTheme="majorBidi" w:cstheme="majorBidi"/>
        </w:rPr>
        <w:t>2) whether Reserve was a domestic corporation</w:t>
      </w:r>
      <w:r w:rsidR="00ED1F6D">
        <w:rPr>
          <w:rFonts w:asciiTheme="majorBidi" w:hAnsiTheme="majorBidi" w:cstheme="majorBidi"/>
        </w:rPr>
        <w:t xml:space="preserve"> under IRC Section 953(d)</w:t>
      </w:r>
      <w:r w:rsidR="006C27BD">
        <w:rPr>
          <w:rFonts w:asciiTheme="majorBidi" w:hAnsiTheme="majorBidi" w:cstheme="majorBidi"/>
        </w:rPr>
        <w:t>;</w:t>
      </w:r>
      <w:r w:rsidR="00A63FD9">
        <w:rPr>
          <w:rFonts w:asciiTheme="majorBidi" w:hAnsiTheme="majorBidi" w:cstheme="majorBidi"/>
        </w:rPr>
        <w:t xml:space="preserve"> and </w:t>
      </w:r>
      <w:r w:rsidR="00AA2BE2">
        <w:rPr>
          <w:rFonts w:asciiTheme="majorBidi" w:hAnsiTheme="majorBidi" w:cstheme="majorBidi"/>
        </w:rPr>
        <w:t>(</w:t>
      </w:r>
      <w:r w:rsidR="00A63FD9">
        <w:rPr>
          <w:rFonts w:asciiTheme="majorBidi" w:hAnsiTheme="majorBidi" w:cstheme="majorBidi"/>
        </w:rPr>
        <w:t xml:space="preserve">3) if </w:t>
      </w:r>
      <w:r w:rsidR="00ED1F6D">
        <w:rPr>
          <w:rFonts w:asciiTheme="majorBidi" w:hAnsiTheme="majorBidi" w:cstheme="majorBidi"/>
        </w:rPr>
        <w:t>Reserve was not an insurance company and did not make a valid IRC Section 953(d) election, whether it could be taxed 30%.</w:t>
      </w:r>
      <w:r w:rsidR="00AA2BE2">
        <w:rPr>
          <w:rFonts w:asciiTheme="majorBidi" w:hAnsiTheme="majorBidi" w:cstheme="majorBidi"/>
        </w:rPr>
        <w:t xml:space="preserve"> </w:t>
      </w:r>
      <w:r w:rsidR="00ED1F6D">
        <w:rPr>
          <w:rFonts w:asciiTheme="majorBidi" w:hAnsiTheme="majorBidi" w:cstheme="majorBidi"/>
        </w:rPr>
        <w:t xml:space="preserve"> </w:t>
      </w:r>
      <w:r w:rsidR="004102CB">
        <w:rPr>
          <w:rFonts w:asciiTheme="majorBidi" w:hAnsiTheme="majorBidi" w:cstheme="majorBidi"/>
        </w:rPr>
        <w:t xml:space="preserve">This article will only address the first question as to </w:t>
      </w:r>
      <w:proofErr w:type="gramStart"/>
      <w:r w:rsidR="004102CB">
        <w:rPr>
          <w:rFonts w:asciiTheme="majorBidi" w:hAnsiTheme="majorBidi" w:cstheme="majorBidi"/>
        </w:rPr>
        <w:t>whether or not</w:t>
      </w:r>
      <w:proofErr w:type="gramEnd"/>
      <w:r w:rsidR="004102CB">
        <w:rPr>
          <w:rFonts w:asciiTheme="majorBidi" w:hAnsiTheme="majorBidi" w:cstheme="majorBidi"/>
        </w:rPr>
        <w:t xml:space="preserve"> Reserve was an insurance company.  </w:t>
      </w:r>
      <w:r w:rsidR="00945DF1">
        <w:rPr>
          <w:rFonts w:asciiTheme="majorBidi" w:hAnsiTheme="majorBidi" w:cstheme="majorBidi"/>
        </w:rPr>
        <w:t>In the IRS’s view, Reserve was solely created so that the owners of Peak could take advantage of th</w:t>
      </w:r>
      <w:r w:rsidR="004102CB">
        <w:rPr>
          <w:rFonts w:asciiTheme="majorBidi" w:hAnsiTheme="majorBidi" w:cstheme="majorBidi"/>
        </w:rPr>
        <w:t xml:space="preserve">e </w:t>
      </w:r>
      <w:r w:rsidR="00E34840">
        <w:rPr>
          <w:rFonts w:asciiTheme="majorBidi" w:hAnsiTheme="majorBidi" w:cstheme="majorBidi"/>
        </w:rPr>
        <w:t xml:space="preserve">tax deduction and </w:t>
      </w:r>
      <w:r w:rsidR="004102CB">
        <w:rPr>
          <w:rFonts w:asciiTheme="majorBidi" w:hAnsiTheme="majorBidi" w:cstheme="majorBidi"/>
        </w:rPr>
        <w:t xml:space="preserve">Reserve could take advantage of the </w:t>
      </w:r>
      <w:r w:rsidR="00945DF1">
        <w:rPr>
          <w:rFonts w:asciiTheme="majorBidi" w:hAnsiTheme="majorBidi" w:cstheme="majorBidi"/>
        </w:rPr>
        <w:lastRenderedPageBreak/>
        <w:t>tax exemption, rather than because Peak needed insurance that it could not get elsewhere</w:t>
      </w:r>
      <w:r w:rsidR="00FB7F09">
        <w:rPr>
          <w:rFonts w:asciiTheme="majorBidi" w:hAnsiTheme="majorBidi" w:cstheme="majorBidi"/>
        </w:rPr>
        <w:t xml:space="preserve">, and thus the transactions </w:t>
      </w:r>
      <w:r w:rsidR="00945DF1">
        <w:rPr>
          <w:rFonts w:asciiTheme="majorBidi" w:hAnsiTheme="majorBidi" w:cstheme="majorBidi"/>
        </w:rPr>
        <w:t>Reserve engaged in lacked economic substance.</w:t>
      </w:r>
      <w:r w:rsidR="00920E3C">
        <w:rPr>
          <w:rStyle w:val="EndnoteReference"/>
          <w:rFonts w:asciiTheme="majorBidi" w:hAnsiTheme="majorBidi" w:cstheme="majorBidi"/>
        </w:rPr>
        <w:endnoteReference w:id="12"/>
      </w:r>
      <w:r w:rsidR="00945DF1">
        <w:rPr>
          <w:rFonts w:asciiTheme="majorBidi" w:hAnsiTheme="majorBidi" w:cstheme="majorBidi"/>
        </w:rPr>
        <w:t xml:space="preserve"> </w:t>
      </w:r>
    </w:p>
    <w:p w14:paraId="36CC3369" w14:textId="72FFF7B9" w:rsidR="00F96219" w:rsidRDefault="00945DF1" w:rsidP="00127C8B">
      <w:pPr>
        <w:spacing w:line="480" w:lineRule="auto"/>
        <w:jc w:val="both"/>
        <w:rPr>
          <w:rFonts w:asciiTheme="majorBidi" w:hAnsiTheme="majorBidi" w:cstheme="majorBidi"/>
        </w:rPr>
      </w:pPr>
      <w:r>
        <w:rPr>
          <w:rFonts w:asciiTheme="majorBidi" w:hAnsiTheme="majorBidi" w:cstheme="majorBidi"/>
        </w:rPr>
        <w:tab/>
        <w:t xml:space="preserve">The IRS’s assessment </w:t>
      </w:r>
      <w:r w:rsidR="00883B4B">
        <w:rPr>
          <w:rFonts w:asciiTheme="majorBidi" w:hAnsiTheme="majorBidi" w:cstheme="majorBidi"/>
        </w:rPr>
        <w:t xml:space="preserve">that Reserve was not an insurance company </w:t>
      </w:r>
      <w:r>
        <w:rPr>
          <w:rFonts w:asciiTheme="majorBidi" w:hAnsiTheme="majorBidi" w:cstheme="majorBidi"/>
        </w:rPr>
        <w:t>was based on several factors. The first, was that the transactions that Reserve engaged in constituted a circular flow of funds.</w:t>
      </w:r>
      <w:r w:rsidR="00510E27">
        <w:rPr>
          <w:rStyle w:val="EndnoteReference"/>
          <w:rFonts w:asciiTheme="majorBidi" w:hAnsiTheme="majorBidi" w:cstheme="majorBidi"/>
        </w:rPr>
        <w:endnoteReference w:id="13"/>
      </w:r>
      <w:r>
        <w:rPr>
          <w:rFonts w:asciiTheme="majorBidi" w:hAnsiTheme="majorBidi" w:cstheme="majorBidi"/>
        </w:rPr>
        <w:t xml:space="preserve"> </w:t>
      </w:r>
      <w:r w:rsidR="001F022E">
        <w:rPr>
          <w:rFonts w:asciiTheme="majorBidi" w:hAnsiTheme="majorBidi" w:cstheme="majorBidi"/>
        </w:rPr>
        <w:t>Peak would pay p</w:t>
      </w:r>
      <w:r>
        <w:rPr>
          <w:rFonts w:asciiTheme="majorBidi" w:hAnsiTheme="majorBidi" w:cstheme="majorBidi"/>
        </w:rPr>
        <w:t>remium payments to Reserve</w:t>
      </w:r>
      <w:r w:rsidR="001F022E">
        <w:rPr>
          <w:rFonts w:asciiTheme="majorBidi" w:hAnsiTheme="majorBidi" w:cstheme="majorBidi"/>
        </w:rPr>
        <w:t xml:space="preserve"> for direct coverage</w:t>
      </w:r>
      <w:r>
        <w:rPr>
          <w:rFonts w:asciiTheme="majorBidi" w:hAnsiTheme="majorBidi" w:cstheme="majorBidi"/>
        </w:rPr>
        <w:t xml:space="preserve">. Reserve would then </w:t>
      </w:r>
      <w:r w:rsidR="00732D6C">
        <w:rPr>
          <w:rFonts w:asciiTheme="majorBidi" w:hAnsiTheme="majorBidi" w:cstheme="majorBidi"/>
        </w:rPr>
        <w:t xml:space="preserve">take these premiums and pay them </w:t>
      </w:r>
      <w:r w:rsidR="001F022E">
        <w:rPr>
          <w:rFonts w:asciiTheme="majorBidi" w:hAnsiTheme="majorBidi" w:cstheme="majorBidi"/>
        </w:rPr>
        <w:t>to the CIC risk pool</w:t>
      </w:r>
      <w:r w:rsidR="000737DE">
        <w:rPr>
          <w:rFonts w:asciiTheme="majorBidi" w:hAnsiTheme="majorBidi" w:cstheme="majorBidi"/>
        </w:rPr>
        <w:t>,</w:t>
      </w:r>
      <w:r w:rsidR="001F022E">
        <w:rPr>
          <w:rFonts w:asciiTheme="majorBidi" w:hAnsiTheme="majorBidi" w:cstheme="majorBidi"/>
        </w:rPr>
        <w:t xml:space="preserve"> </w:t>
      </w:r>
      <w:proofErr w:type="spellStart"/>
      <w:r w:rsidR="00732D6C">
        <w:rPr>
          <w:rFonts w:asciiTheme="majorBidi" w:hAnsiTheme="majorBidi" w:cstheme="majorBidi"/>
        </w:rPr>
        <w:t>PoolRe</w:t>
      </w:r>
      <w:proofErr w:type="spellEnd"/>
      <w:r w:rsidR="000737DE">
        <w:rPr>
          <w:rFonts w:asciiTheme="majorBidi" w:hAnsiTheme="majorBidi" w:cstheme="majorBidi"/>
        </w:rPr>
        <w:t>,</w:t>
      </w:r>
      <w:r w:rsidR="001F022E">
        <w:rPr>
          <w:rFonts w:asciiTheme="majorBidi" w:hAnsiTheme="majorBidi" w:cstheme="majorBidi"/>
        </w:rPr>
        <w:t xml:space="preserve"> as reinsurance by attempted risk </w:t>
      </w:r>
      <w:r w:rsidR="00467267">
        <w:rPr>
          <w:rFonts w:asciiTheme="majorBidi" w:hAnsiTheme="majorBidi" w:cstheme="majorBidi"/>
        </w:rPr>
        <w:t xml:space="preserve">distribution across </w:t>
      </w:r>
      <w:proofErr w:type="gramStart"/>
      <w:r w:rsidR="00467267">
        <w:rPr>
          <w:rFonts w:asciiTheme="majorBidi" w:hAnsiTheme="majorBidi" w:cstheme="majorBidi"/>
        </w:rPr>
        <w:t>a number of</w:t>
      </w:r>
      <w:proofErr w:type="gramEnd"/>
      <w:r w:rsidR="00467267">
        <w:rPr>
          <w:rFonts w:asciiTheme="majorBidi" w:hAnsiTheme="majorBidi" w:cstheme="majorBidi"/>
        </w:rPr>
        <w:t xml:space="preserve"> other CICs also pay</w:t>
      </w:r>
      <w:r w:rsidR="000737DE">
        <w:rPr>
          <w:rFonts w:asciiTheme="majorBidi" w:hAnsiTheme="majorBidi" w:cstheme="majorBidi"/>
        </w:rPr>
        <w:t>ing</w:t>
      </w:r>
      <w:r w:rsidR="00467267">
        <w:rPr>
          <w:rFonts w:asciiTheme="majorBidi" w:hAnsiTheme="majorBidi" w:cstheme="majorBidi"/>
        </w:rPr>
        <w:t xml:space="preserve"> into the risk pool</w:t>
      </w:r>
      <w:r w:rsidR="00732D6C">
        <w:rPr>
          <w:rFonts w:asciiTheme="majorBidi" w:hAnsiTheme="majorBidi" w:cstheme="majorBidi"/>
        </w:rPr>
        <w:t xml:space="preserve">. </w:t>
      </w:r>
      <w:r w:rsidR="00732D6C" w:rsidRPr="00FB36CF">
        <w:rPr>
          <w:rFonts w:asciiTheme="majorBidi" w:hAnsiTheme="majorBidi" w:cstheme="majorBidi"/>
        </w:rPr>
        <w:t>P</w:t>
      </w:r>
      <w:r w:rsidR="00001ED2" w:rsidRPr="00FB36CF">
        <w:rPr>
          <w:rFonts w:asciiTheme="majorBidi" w:hAnsiTheme="majorBidi" w:cstheme="majorBidi"/>
        </w:rPr>
        <w:t xml:space="preserve">eak would then also pay premiums to </w:t>
      </w:r>
      <w:proofErr w:type="spellStart"/>
      <w:r w:rsidR="00001ED2" w:rsidRPr="00FB36CF">
        <w:rPr>
          <w:rFonts w:asciiTheme="majorBidi" w:hAnsiTheme="majorBidi" w:cstheme="majorBidi"/>
        </w:rPr>
        <w:t>P</w:t>
      </w:r>
      <w:r w:rsidR="00732D6C" w:rsidRPr="00FB36CF">
        <w:rPr>
          <w:rFonts w:asciiTheme="majorBidi" w:hAnsiTheme="majorBidi" w:cstheme="majorBidi"/>
        </w:rPr>
        <w:t>oolRe</w:t>
      </w:r>
      <w:proofErr w:type="spellEnd"/>
      <w:r w:rsidR="00732D6C" w:rsidRPr="00FB36CF">
        <w:rPr>
          <w:rFonts w:asciiTheme="majorBidi" w:hAnsiTheme="majorBidi" w:cstheme="majorBidi"/>
        </w:rPr>
        <w:t xml:space="preserve"> </w:t>
      </w:r>
      <w:r w:rsidR="00001ED2" w:rsidRPr="00FB36CF">
        <w:rPr>
          <w:rFonts w:asciiTheme="majorBidi" w:hAnsiTheme="majorBidi" w:cstheme="majorBidi"/>
        </w:rPr>
        <w:t xml:space="preserve">in exchange for stop-loss </w:t>
      </w:r>
      <w:r w:rsidR="00732D6C" w:rsidRPr="00FB36CF">
        <w:rPr>
          <w:rFonts w:asciiTheme="majorBidi" w:hAnsiTheme="majorBidi" w:cstheme="majorBidi"/>
        </w:rPr>
        <w:t xml:space="preserve">insurance </w:t>
      </w:r>
      <w:r w:rsidR="00FB36CF" w:rsidRPr="00FB36CF">
        <w:rPr>
          <w:rFonts w:asciiTheme="majorBidi" w:hAnsiTheme="majorBidi" w:cstheme="majorBidi"/>
        </w:rPr>
        <w:t>from</w:t>
      </w:r>
      <w:r w:rsidR="00732D6C" w:rsidRPr="00FB36CF">
        <w:rPr>
          <w:rFonts w:asciiTheme="majorBidi" w:hAnsiTheme="majorBidi" w:cstheme="majorBidi"/>
        </w:rPr>
        <w:t xml:space="preserve"> </w:t>
      </w:r>
      <w:proofErr w:type="spellStart"/>
      <w:r w:rsidR="00732D6C" w:rsidRPr="00FB36CF">
        <w:rPr>
          <w:rFonts w:asciiTheme="majorBidi" w:hAnsiTheme="majorBidi" w:cstheme="majorBidi"/>
        </w:rPr>
        <w:t>PoolRe</w:t>
      </w:r>
      <w:proofErr w:type="spellEnd"/>
      <w:r w:rsidR="00732D6C" w:rsidRPr="00FB36CF">
        <w:rPr>
          <w:rFonts w:asciiTheme="majorBidi" w:hAnsiTheme="majorBidi" w:cstheme="majorBidi"/>
        </w:rPr>
        <w:t xml:space="preserve">. </w:t>
      </w:r>
      <w:r w:rsidR="002E7783">
        <w:rPr>
          <w:rFonts w:asciiTheme="majorBidi" w:hAnsiTheme="majorBidi" w:cstheme="majorBidi"/>
        </w:rPr>
        <w:t xml:space="preserve">Lastly, </w:t>
      </w:r>
      <w:proofErr w:type="spellStart"/>
      <w:r w:rsidR="002E7783">
        <w:rPr>
          <w:rFonts w:asciiTheme="majorBidi" w:hAnsiTheme="majorBidi" w:cstheme="majorBidi"/>
        </w:rPr>
        <w:t>PoolRe</w:t>
      </w:r>
      <w:proofErr w:type="spellEnd"/>
      <w:r w:rsidR="002E7783">
        <w:rPr>
          <w:rFonts w:asciiTheme="majorBidi" w:hAnsiTheme="majorBidi" w:cstheme="majorBidi"/>
        </w:rPr>
        <w:t xml:space="preserve"> would pay the same stop-loss premium</w:t>
      </w:r>
      <w:r w:rsidR="00D94367">
        <w:rPr>
          <w:rFonts w:asciiTheme="majorBidi" w:hAnsiTheme="majorBidi" w:cstheme="majorBidi"/>
        </w:rPr>
        <w:t xml:space="preserve"> amount it received from Peak </w:t>
      </w:r>
      <w:r w:rsidR="002E7783">
        <w:rPr>
          <w:rFonts w:asciiTheme="majorBidi" w:hAnsiTheme="majorBidi" w:cstheme="majorBidi"/>
        </w:rPr>
        <w:t xml:space="preserve">to Reserve to </w:t>
      </w:r>
      <w:proofErr w:type="gramStart"/>
      <w:r w:rsidR="002E7783">
        <w:rPr>
          <w:rFonts w:asciiTheme="majorBidi" w:hAnsiTheme="majorBidi" w:cstheme="majorBidi"/>
        </w:rPr>
        <w:t>insure</w:t>
      </w:r>
      <w:proofErr w:type="gramEnd"/>
      <w:r w:rsidR="002E7783">
        <w:rPr>
          <w:rFonts w:asciiTheme="majorBidi" w:hAnsiTheme="majorBidi" w:cstheme="majorBidi"/>
        </w:rPr>
        <w:t xml:space="preserve"> the </w:t>
      </w:r>
      <w:r w:rsidR="00D94367">
        <w:rPr>
          <w:rFonts w:asciiTheme="majorBidi" w:hAnsiTheme="majorBidi" w:cstheme="majorBidi"/>
        </w:rPr>
        <w:t xml:space="preserve">same </w:t>
      </w:r>
      <w:r w:rsidR="002E7783">
        <w:rPr>
          <w:rFonts w:asciiTheme="majorBidi" w:hAnsiTheme="majorBidi" w:cstheme="majorBidi"/>
        </w:rPr>
        <w:t>stop</w:t>
      </w:r>
      <w:r w:rsidR="00B65331">
        <w:rPr>
          <w:rFonts w:asciiTheme="majorBidi" w:hAnsiTheme="majorBidi" w:cstheme="majorBidi"/>
        </w:rPr>
        <w:t>-</w:t>
      </w:r>
      <w:r w:rsidR="002E7783">
        <w:rPr>
          <w:rFonts w:asciiTheme="majorBidi" w:hAnsiTheme="majorBidi" w:cstheme="majorBidi"/>
        </w:rPr>
        <w:t xml:space="preserve">loss coverage it had with Peak. </w:t>
      </w:r>
      <w:r w:rsidR="00732D6C" w:rsidRPr="00B65331">
        <w:rPr>
          <w:rFonts w:asciiTheme="majorBidi" w:hAnsiTheme="majorBidi" w:cstheme="majorBidi"/>
        </w:rPr>
        <w:t>Th</w:t>
      </w:r>
      <w:r w:rsidR="0057658E" w:rsidRPr="00B65331">
        <w:rPr>
          <w:rFonts w:asciiTheme="majorBidi" w:hAnsiTheme="majorBidi" w:cstheme="majorBidi"/>
        </w:rPr>
        <w:t>e court determined that</w:t>
      </w:r>
      <w:r w:rsidR="00413197" w:rsidRPr="00B65331">
        <w:rPr>
          <w:rFonts w:asciiTheme="majorBidi" w:hAnsiTheme="majorBidi" w:cstheme="majorBidi"/>
        </w:rPr>
        <w:t xml:space="preserve"> </w:t>
      </w:r>
      <w:r w:rsidR="00B65331">
        <w:rPr>
          <w:rFonts w:asciiTheme="majorBidi" w:hAnsiTheme="majorBidi" w:cstheme="majorBidi"/>
        </w:rPr>
        <w:t xml:space="preserve">the flow of premiums between </w:t>
      </w:r>
      <w:r w:rsidR="00413197" w:rsidRPr="00B65331">
        <w:rPr>
          <w:rFonts w:asciiTheme="majorBidi" w:hAnsiTheme="majorBidi" w:cstheme="majorBidi"/>
        </w:rPr>
        <w:t>these</w:t>
      </w:r>
      <w:r w:rsidR="00732D6C" w:rsidRPr="00B65331">
        <w:rPr>
          <w:rFonts w:asciiTheme="majorBidi" w:hAnsiTheme="majorBidi" w:cstheme="majorBidi"/>
        </w:rPr>
        <w:t xml:space="preserve"> three entities constituted a</w:t>
      </w:r>
      <w:r w:rsidR="005935D9">
        <w:rPr>
          <w:rFonts w:asciiTheme="majorBidi" w:hAnsiTheme="majorBidi" w:cstheme="majorBidi"/>
        </w:rPr>
        <w:t>n improper</w:t>
      </w:r>
      <w:r w:rsidR="00732D6C" w:rsidRPr="00B65331">
        <w:rPr>
          <w:rFonts w:asciiTheme="majorBidi" w:hAnsiTheme="majorBidi" w:cstheme="majorBidi"/>
        </w:rPr>
        <w:t xml:space="preserve"> circular </w:t>
      </w:r>
      <w:r w:rsidR="00B65331">
        <w:rPr>
          <w:rFonts w:asciiTheme="majorBidi" w:hAnsiTheme="majorBidi" w:cstheme="majorBidi"/>
        </w:rPr>
        <w:t>cash f</w:t>
      </w:r>
      <w:r w:rsidR="00732D6C" w:rsidRPr="00B65331">
        <w:rPr>
          <w:rFonts w:asciiTheme="majorBidi" w:hAnsiTheme="majorBidi" w:cstheme="majorBidi"/>
        </w:rPr>
        <w:t>low of funds.</w:t>
      </w:r>
      <w:r w:rsidR="00732D6C">
        <w:rPr>
          <w:rFonts w:asciiTheme="majorBidi" w:hAnsiTheme="majorBidi" w:cstheme="majorBidi"/>
        </w:rPr>
        <w:t xml:space="preserve"> </w:t>
      </w:r>
    </w:p>
    <w:p w14:paraId="3CD94219" w14:textId="49FAADD5" w:rsidR="001A2A32" w:rsidRDefault="00732D6C" w:rsidP="005935D9">
      <w:pPr>
        <w:spacing w:line="480" w:lineRule="auto"/>
        <w:ind w:firstLine="720"/>
        <w:jc w:val="both"/>
        <w:rPr>
          <w:rFonts w:asciiTheme="majorBidi" w:hAnsiTheme="majorBidi" w:cstheme="majorBidi"/>
        </w:rPr>
      </w:pPr>
      <w:r>
        <w:rPr>
          <w:rFonts w:asciiTheme="majorBidi" w:hAnsiTheme="majorBidi" w:cstheme="majorBidi"/>
        </w:rPr>
        <w:t>Next, the IRS focused on how the premiums that Reserve charged were determined. Several experts testified that they had used actuarial tables to calculate them but could not provide those tables and could not explain how Reserve somehow managed to charge each year the exact amount of premiums that would result in the greatest tax exemption for the CIC.</w:t>
      </w:r>
      <w:r w:rsidR="00510E27">
        <w:rPr>
          <w:rStyle w:val="EndnoteReference"/>
          <w:rFonts w:asciiTheme="majorBidi" w:hAnsiTheme="majorBidi" w:cstheme="majorBidi"/>
        </w:rPr>
        <w:endnoteReference w:id="14"/>
      </w:r>
      <w:r>
        <w:rPr>
          <w:rFonts w:asciiTheme="majorBidi" w:hAnsiTheme="majorBidi" w:cstheme="majorBidi"/>
        </w:rPr>
        <w:t xml:space="preserve"> The IRS argued that premium calculation method used was bogus. </w:t>
      </w:r>
      <w:r w:rsidR="00281320">
        <w:rPr>
          <w:rFonts w:asciiTheme="majorBidi" w:hAnsiTheme="majorBidi" w:cstheme="majorBidi"/>
        </w:rPr>
        <w:t xml:space="preserve"> </w:t>
      </w:r>
    </w:p>
    <w:p w14:paraId="539DC989" w14:textId="3290DB20" w:rsidR="00281320" w:rsidRDefault="00281320" w:rsidP="001A2A32">
      <w:pPr>
        <w:spacing w:line="480" w:lineRule="auto"/>
        <w:jc w:val="both"/>
        <w:rPr>
          <w:rFonts w:asciiTheme="majorBidi" w:hAnsiTheme="majorBidi" w:cstheme="majorBidi"/>
        </w:rPr>
      </w:pPr>
      <w:r>
        <w:rPr>
          <w:rFonts w:asciiTheme="majorBidi" w:hAnsiTheme="majorBidi" w:cstheme="majorBidi"/>
        </w:rPr>
        <w:tab/>
        <w:t>The Tax Court ruled in favor of the IRS and held that Reserve did not issue insurance contracts. Thus, Reserve was not an insurance company, and was thereby ineligible for the Section 501(c)(15) exemption.</w:t>
      </w:r>
      <w:r w:rsidR="00510E27">
        <w:rPr>
          <w:rStyle w:val="EndnoteReference"/>
          <w:rFonts w:asciiTheme="majorBidi" w:hAnsiTheme="majorBidi" w:cstheme="majorBidi"/>
        </w:rPr>
        <w:endnoteReference w:id="15"/>
      </w:r>
      <w:r>
        <w:rPr>
          <w:rFonts w:asciiTheme="majorBidi" w:hAnsiTheme="majorBidi" w:cstheme="majorBidi"/>
        </w:rPr>
        <w:t xml:space="preserve"> Therefore, the premiums that Reserve received were now treated as investment income and could be taxed at a 30% withholding rate. </w:t>
      </w:r>
      <w:r w:rsidR="00EC4B0F">
        <w:rPr>
          <w:rFonts w:asciiTheme="majorBidi" w:hAnsiTheme="majorBidi" w:cstheme="majorBidi"/>
        </w:rPr>
        <w:t xml:space="preserve">The Tax Court determined that the premiums that were paid to Reserve by Peak and then to PoolRe and vice versa constituted a circular </w:t>
      </w:r>
      <w:r w:rsidR="008F1306">
        <w:rPr>
          <w:rFonts w:asciiTheme="majorBidi" w:hAnsiTheme="majorBidi" w:cstheme="majorBidi"/>
        </w:rPr>
        <w:t xml:space="preserve">cash </w:t>
      </w:r>
      <w:r w:rsidR="00EC4B0F">
        <w:rPr>
          <w:rFonts w:asciiTheme="majorBidi" w:hAnsiTheme="majorBidi" w:cstheme="majorBidi"/>
        </w:rPr>
        <w:t xml:space="preserve">flow of funds. They also determined that the premiums paid were determined by what would produce the greatest tax </w:t>
      </w:r>
      <w:r w:rsidR="008F1306">
        <w:rPr>
          <w:rFonts w:asciiTheme="majorBidi" w:hAnsiTheme="majorBidi" w:cstheme="majorBidi"/>
        </w:rPr>
        <w:t>deduction</w:t>
      </w:r>
      <w:r w:rsidR="00EC4B0F">
        <w:rPr>
          <w:rFonts w:asciiTheme="majorBidi" w:hAnsiTheme="majorBidi" w:cstheme="majorBidi"/>
        </w:rPr>
        <w:t xml:space="preserve"> rather than</w:t>
      </w:r>
      <w:r w:rsidR="00103BDC">
        <w:rPr>
          <w:rFonts w:ascii="Times New Roman" w:hAnsi="Times New Roman" w:cs="Times New Roman"/>
          <w:color w:val="000000" w:themeColor="text1"/>
        </w:rPr>
        <w:t xml:space="preserve"> </w:t>
      </w:r>
      <w:r w:rsidR="00103BDC" w:rsidRPr="00103BDC">
        <w:rPr>
          <w:rFonts w:ascii="Times New Roman" w:hAnsi="Times New Roman" w:cs="Times New Roman"/>
          <w:color w:val="000000" w:themeColor="text1"/>
        </w:rPr>
        <w:t xml:space="preserve">based on actuarially determined insurance </w:t>
      </w:r>
      <w:r w:rsidR="00103BDC" w:rsidRPr="00103BDC">
        <w:rPr>
          <w:rFonts w:ascii="Times New Roman" w:hAnsi="Times New Roman" w:cs="Times New Roman"/>
          <w:color w:val="000000" w:themeColor="text1"/>
        </w:rPr>
        <w:lastRenderedPageBreak/>
        <w:t>need</w:t>
      </w:r>
      <w:r w:rsidR="00EC4B0F" w:rsidRPr="00103BDC">
        <w:rPr>
          <w:rFonts w:ascii="Times New Roman" w:hAnsi="Times New Roman" w:cs="Times New Roman"/>
          <w:color w:val="000000" w:themeColor="text1"/>
        </w:rPr>
        <w:t>. The Tax Co</w:t>
      </w:r>
      <w:r w:rsidR="00EC4B0F">
        <w:rPr>
          <w:rFonts w:asciiTheme="majorBidi" w:hAnsiTheme="majorBidi" w:cstheme="majorBidi"/>
        </w:rPr>
        <w:t>urt noted the strangeness of some of the facts of Reserve. For instance, after Peak formed Reserve its insurance costs went up 400%.</w:t>
      </w:r>
      <w:r w:rsidR="00510E27">
        <w:rPr>
          <w:rStyle w:val="EndnoteReference"/>
          <w:rFonts w:asciiTheme="majorBidi" w:hAnsiTheme="majorBidi" w:cstheme="majorBidi"/>
        </w:rPr>
        <w:endnoteReference w:id="16"/>
      </w:r>
      <w:r w:rsidR="00EC4B0F">
        <w:rPr>
          <w:rFonts w:asciiTheme="majorBidi" w:hAnsiTheme="majorBidi" w:cstheme="majorBidi"/>
        </w:rPr>
        <w:t xml:space="preserve"> In the Tax Court’s estimation there is no reasonable and ordinary explanation for why a company would increase its insurance costs by such a staggering amount. </w:t>
      </w:r>
      <w:r w:rsidR="006E16DD">
        <w:rPr>
          <w:rFonts w:asciiTheme="majorBidi" w:hAnsiTheme="majorBidi" w:cstheme="majorBidi"/>
        </w:rPr>
        <w:t>After the Tax Court decision, Reserve was appealed to the Tenth Circuit Court of Appeals.</w:t>
      </w:r>
      <w:r w:rsidR="006E16DD">
        <w:rPr>
          <w:rStyle w:val="EndnoteReference"/>
          <w:rFonts w:asciiTheme="majorBidi" w:hAnsiTheme="majorBidi" w:cstheme="majorBidi"/>
        </w:rPr>
        <w:endnoteReference w:id="17"/>
      </w:r>
    </w:p>
    <w:p w14:paraId="2B047BDE" w14:textId="28B10745" w:rsidR="00B508C5" w:rsidRPr="00B508C5" w:rsidRDefault="00B508C5" w:rsidP="001A2A32">
      <w:pPr>
        <w:spacing w:line="480" w:lineRule="auto"/>
        <w:jc w:val="both"/>
        <w:rPr>
          <w:rFonts w:asciiTheme="majorBidi" w:hAnsiTheme="majorBidi" w:cstheme="majorBidi"/>
          <w:i/>
          <w:iCs/>
          <w:u w:val="single"/>
        </w:rPr>
      </w:pPr>
      <w:r w:rsidRPr="00B508C5">
        <w:rPr>
          <w:rFonts w:asciiTheme="majorBidi" w:hAnsiTheme="majorBidi" w:cstheme="majorBidi"/>
          <w:i/>
          <w:iCs/>
          <w:u w:val="single"/>
        </w:rPr>
        <w:t xml:space="preserve">The </w:t>
      </w:r>
      <w:r w:rsidR="00AB04A7">
        <w:rPr>
          <w:rFonts w:asciiTheme="majorBidi" w:hAnsiTheme="majorBidi" w:cstheme="majorBidi"/>
          <w:i/>
          <w:iCs/>
          <w:u w:val="single"/>
        </w:rPr>
        <w:t xml:space="preserve">10the Circuit </w:t>
      </w:r>
      <w:r w:rsidRPr="00B508C5">
        <w:rPr>
          <w:rFonts w:asciiTheme="majorBidi" w:hAnsiTheme="majorBidi" w:cstheme="majorBidi"/>
          <w:i/>
          <w:iCs/>
          <w:u w:val="single"/>
        </w:rPr>
        <w:t>U.S. Court of Appeals</w:t>
      </w:r>
      <w:r w:rsidR="005E01C8">
        <w:rPr>
          <w:rFonts w:asciiTheme="majorBidi" w:hAnsiTheme="majorBidi" w:cstheme="majorBidi"/>
          <w:i/>
          <w:iCs/>
          <w:u w:val="single"/>
        </w:rPr>
        <w:t xml:space="preserve"> Decision</w:t>
      </w:r>
    </w:p>
    <w:p w14:paraId="0A10A577" w14:textId="77777777" w:rsidR="00D600EF" w:rsidRDefault="00EC4B0F" w:rsidP="0070451E">
      <w:pPr>
        <w:spacing w:line="480" w:lineRule="auto"/>
        <w:jc w:val="both"/>
        <w:rPr>
          <w:rFonts w:ascii="Times New Roman" w:hAnsi="Times New Roman" w:cs="Times New Roman"/>
        </w:rPr>
      </w:pPr>
      <w:r>
        <w:rPr>
          <w:rFonts w:asciiTheme="majorBidi" w:hAnsiTheme="majorBidi" w:cstheme="majorBidi"/>
        </w:rPr>
        <w:tab/>
      </w:r>
      <w:r w:rsidR="0051436D">
        <w:rPr>
          <w:rFonts w:asciiTheme="majorBidi" w:hAnsiTheme="majorBidi" w:cstheme="majorBidi"/>
        </w:rPr>
        <w:t>T</w:t>
      </w:r>
      <w:r w:rsidR="00ED369B">
        <w:rPr>
          <w:rFonts w:asciiTheme="majorBidi" w:hAnsiTheme="majorBidi" w:cstheme="majorBidi"/>
        </w:rPr>
        <w:t xml:space="preserve">he </w:t>
      </w:r>
      <w:r w:rsidR="007B4F22">
        <w:rPr>
          <w:rFonts w:asciiTheme="majorBidi" w:hAnsiTheme="majorBidi" w:cstheme="majorBidi"/>
        </w:rPr>
        <w:t xml:space="preserve">Tenth Circuit </w:t>
      </w:r>
      <w:r w:rsidR="00ED369B">
        <w:rPr>
          <w:rFonts w:asciiTheme="majorBidi" w:hAnsiTheme="majorBidi" w:cstheme="majorBidi"/>
        </w:rPr>
        <w:t>ruled</w:t>
      </w:r>
      <w:r w:rsidR="00EE5E03">
        <w:rPr>
          <w:rFonts w:asciiTheme="majorBidi" w:hAnsiTheme="majorBidi" w:cstheme="majorBidi"/>
        </w:rPr>
        <w:t xml:space="preserve"> </w:t>
      </w:r>
      <w:r w:rsidR="00ED369B">
        <w:rPr>
          <w:rFonts w:asciiTheme="majorBidi" w:hAnsiTheme="majorBidi" w:cstheme="majorBidi"/>
        </w:rPr>
        <w:t>in favor of the IRS</w:t>
      </w:r>
      <w:r w:rsidR="00EE5E03">
        <w:rPr>
          <w:rFonts w:asciiTheme="majorBidi" w:hAnsiTheme="majorBidi" w:cstheme="majorBidi"/>
        </w:rPr>
        <w:t xml:space="preserve"> on all issues</w:t>
      </w:r>
      <w:r w:rsidR="00ED369B">
        <w:rPr>
          <w:rFonts w:asciiTheme="majorBidi" w:hAnsiTheme="majorBidi" w:cstheme="majorBidi"/>
        </w:rPr>
        <w:t>.</w:t>
      </w:r>
      <w:r w:rsidR="0070451E">
        <w:rPr>
          <w:rFonts w:ascii="Times New Roman" w:hAnsi="Times New Roman" w:cs="Times New Roman"/>
        </w:rPr>
        <w:t xml:space="preserve"> </w:t>
      </w:r>
      <w:r w:rsidR="00E61615">
        <w:rPr>
          <w:rFonts w:ascii="Times New Roman" w:hAnsi="Times New Roman" w:cs="Times New Roman"/>
        </w:rPr>
        <w:t xml:space="preserve">The Tenth Circuit’s ruling against Reserve was damning. In the words of the court: </w:t>
      </w:r>
    </w:p>
    <w:p w14:paraId="1AFD9E21" w14:textId="1693B4CD" w:rsidR="00D600EF" w:rsidRDefault="00E61615" w:rsidP="00D600EF">
      <w:pPr>
        <w:ind w:left="720" w:right="720"/>
        <w:jc w:val="both"/>
        <w:rPr>
          <w:rFonts w:ascii="Times New Roman" w:hAnsi="Times New Roman" w:cs="Times New Roman"/>
        </w:rPr>
      </w:pPr>
      <w:r>
        <w:rPr>
          <w:rFonts w:ascii="Times New Roman" w:hAnsi="Times New Roman" w:cs="Times New Roman"/>
        </w:rPr>
        <w:t xml:space="preserve">Reserve has not presented </w:t>
      </w:r>
      <w:r w:rsidRPr="00D600EF">
        <w:rPr>
          <w:rFonts w:ascii="Times New Roman" w:hAnsi="Times New Roman" w:cs="Times New Roman"/>
          <w:i/>
          <w:iCs/>
        </w:rPr>
        <w:t>any argument</w:t>
      </w:r>
      <w:r>
        <w:rPr>
          <w:rFonts w:ascii="Times New Roman" w:hAnsi="Times New Roman" w:cs="Times New Roman"/>
        </w:rPr>
        <w:t xml:space="preserve"> as to why a factfinder could not infer that Peak’s intent was simply the intent to create a plausible insurance company through which Peak could obtain a substantial tax deduction without reducing the funds available to its two owners. The intent behind the act does not change just because the act failed to achieve its purpose.</w:t>
      </w:r>
      <w:r>
        <w:rPr>
          <w:rStyle w:val="EndnoteReference"/>
          <w:rFonts w:ascii="Times New Roman" w:hAnsi="Times New Roman" w:cs="Times New Roman"/>
        </w:rPr>
        <w:endnoteReference w:id="18"/>
      </w:r>
      <w:r>
        <w:rPr>
          <w:rFonts w:ascii="Times New Roman" w:hAnsi="Times New Roman" w:cs="Times New Roman"/>
        </w:rPr>
        <w:t xml:space="preserve"> </w:t>
      </w:r>
      <w:r w:rsidR="00D600EF">
        <w:rPr>
          <w:rFonts w:ascii="Times New Roman" w:hAnsi="Times New Roman" w:cs="Times New Roman"/>
        </w:rPr>
        <w:t>[Emphasis added]</w:t>
      </w:r>
    </w:p>
    <w:p w14:paraId="3B8BE47B" w14:textId="77777777" w:rsidR="00D600EF" w:rsidRDefault="00D600EF" w:rsidP="00D600EF">
      <w:pPr>
        <w:ind w:left="720" w:right="720"/>
        <w:jc w:val="both"/>
        <w:rPr>
          <w:rFonts w:ascii="Times New Roman" w:hAnsi="Times New Roman" w:cs="Times New Roman"/>
        </w:rPr>
      </w:pPr>
    </w:p>
    <w:p w14:paraId="23A612D6" w14:textId="366EFF05" w:rsidR="000737DE" w:rsidRDefault="00E61615" w:rsidP="001A2A32">
      <w:pPr>
        <w:spacing w:line="480" w:lineRule="auto"/>
        <w:jc w:val="both"/>
        <w:rPr>
          <w:rFonts w:ascii="Times New Roman" w:hAnsi="Times New Roman" w:cs="Times New Roman"/>
        </w:rPr>
      </w:pPr>
      <w:r>
        <w:rPr>
          <w:rFonts w:ascii="Times New Roman" w:hAnsi="Times New Roman" w:cs="Times New Roman"/>
        </w:rPr>
        <w:t>The Tenth Circuit</w:t>
      </w:r>
      <w:r w:rsidR="00D600EF">
        <w:rPr>
          <w:rFonts w:ascii="Times New Roman" w:hAnsi="Times New Roman" w:cs="Times New Roman"/>
        </w:rPr>
        <w:t>’s comments make it clear that it does not see</w:t>
      </w:r>
      <w:r>
        <w:rPr>
          <w:rFonts w:ascii="Times New Roman" w:hAnsi="Times New Roman" w:cs="Times New Roman"/>
        </w:rPr>
        <w:t xml:space="preserve"> Reserve </w:t>
      </w:r>
      <w:r w:rsidR="00D600EF">
        <w:rPr>
          <w:rFonts w:ascii="Times New Roman" w:hAnsi="Times New Roman" w:cs="Times New Roman"/>
        </w:rPr>
        <w:t xml:space="preserve">as being </w:t>
      </w:r>
      <w:r>
        <w:rPr>
          <w:rFonts w:ascii="Times New Roman" w:hAnsi="Times New Roman" w:cs="Times New Roman"/>
        </w:rPr>
        <w:t xml:space="preserve">run like a legitimate business. The court found that there was no evidence of any reasonable risk assessments to determine whether Peak needed any of the additional policies. The court noted that Reserve prepared policies that only lasted for a month </w:t>
      </w:r>
      <w:r w:rsidR="000737DE">
        <w:rPr>
          <w:rFonts w:ascii="Times New Roman" w:hAnsi="Times New Roman" w:cs="Times New Roman"/>
        </w:rPr>
        <w:t>in a</w:t>
      </w:r>
      <w:r>
        <w:rPr>
          <w:rFonts w:ascii="Times New Roman" w:hAnsi="Times New Roman" w:cs="Times New Roman"/>
        </w:rPr>
        <w:t xml:space="preserve"> rush to obtain a large business deduction for Peak in 2008</w:t>
      </w:r>
      <w:r w:rsidRPr="00113756">
        <w:rPr>
          <w:rFonts w:ascii="Times New Roman" w:hAnsi="Times New Roman" w:cs="Times New Roman"/>
        </w:rPr>
        <w:t xml:space="preserve">, and that this behavior was </w:t>
      </w:r>
      <w:r w:rsidR="009B68BE" w:rsidRPr="00113756">
        <w:rPr>
          <w:rFonts w:ascii="Times New Roman" w:hAnsi="Times New Roman" w:cs="Times New Roman"/>
        </w:rPr>
        <w:t>“</w:t>
      </w:r>
      <w:r w:rsidRPr="00113756">
        <w:rPr>
          <w:rFonts w:ascii="Times New Roman" w:hAnsi="Times New Roman" w:cs="Times New Roman"/>
        </w:rPr>
        <w:t>laughable</w:t>
      </w:r>
      <w:r w:rsidR="009B68BE" w:rsidRPr="00113756">
        <w:rPr>
          <w:rFonts w:ascii="Times New Roman" w:hAnsi="Times New Roman" w:cs="Times New Roman"/>
        </w:rPr>
        <w:t>”</w:t>
      </w:r>
      <w:r w:rsidRPr="00113756">
        <w:rPr>
          <w:rFonts w:ascii="Times New Roman" w:hAnsi="Times New Roman" w:cs="Times New Roman"/>
        </w:rPr>
        <w:t>.</w:t>
      </w:r>
      <w:r w:rsidR="00B83C5D" w:rsidRPr="00113756">
        <w:rPr>
          <w:rStyle w:val="EndnoteReference"/>
          <w:rFonts w:ascii="Times New Roman" w:hAnsi="Times New Roman" w:cs="Times New Roman"/>
        </w:rPr>
        <w:endnoteReference w:id="19"/>
      </w:r>
      <w:r w:rsidRPr="003D5B3F">
        <w:rPr>
          <w:rFonts w:ascii="Times New Roman" w:hAnsi="Times New Roman" w:cs="Times New Roman"/>
        </w:rPr>
        <w:t xml:space="preserve"> The Tenth Circuit also held that the re-insurance policies that Reserve held with </w:t>
      </w:r>
      <w:proofErr w:type="spellStart"/>
      <w:r w:rsidRPr="003D5B3F">
        <w:rPr>
          <w:rFonts w:ascii="Times New Roman" w:hAnsi="Times New Roman" w:cs="Times New Roman"/>
        </w:rPr>
        <w:t>PoolRe</w:t>
      </w:r>
      <w:proofErr w:type="spellEnd"/>
      <w:r w:rsidRPr="003D5B3F">
        <w:rPr>
          <w:rFonts w:ascii="Times New Roman" w:hAnsi="Times New Roman" w:cs="Times New Roman"/>
        </w:rPr>
        <w:t xml:space="preserve"> did not distribute risk and that if anything the previous Tax Court decision understates the compelling evidence that these re-insurance arrangements </w:t>
      </w:r>
      <w:r w:rsidRPr="00113756">
        <w:rPr>
          <w:rFonts w:ascii="Times New Roman" w:hAnsi="Times New Roman" w:cs="Times New Roman"/>
        </w:rPr>
        <w:t xml:space="preserve">were a </w:t>
      </w:r>
      <w:r w:rsidR="009B68BE" w:rsidRPr="00113756">
        <w:rPr>
          <w:rFonts w:ascii="Times New Roman" w:hAnsi="Times New Roman" w:cs="Times New Roman"/>
        </w:rPr>
        <w:t>“</w:t>
      </w:r>
      <w:r w:rsidRPr="00113756">
        <w:rPr>
          <w:rFonts w:ascii="Times New Roman" w:hAnsi="Times New Roman" w:cs="Times New Roman"/>
        </w:rPr>
        <w:t>s</w:t>
      </w:r>
      <w:r w:rsidR="007930DA" w:rsidRPr="00113756">
        <w:rPr>
          <w:rFonts w:ascii="Times New Roman" w:hAnsi="Times New Roman" w:cs="Times New Roman"/>
        </w:rPr>
        <w:t>h</w:t>
      </w:r>
      <w:r w:rsidRPr="00113756">
        <w:rPr>
          <w:rFonts w:ascii="Times New Roman" w:hAnsi="Times New Roman" w:cs="Times New Roman"/>
        </w:rPr>
        <w:t>am</w:t>
      </w:r>
      <w:r w:rsidR="009B68BE" w:rsidRPr="00113756">
        <w:rPr>
          <w:rFonts w:ascii="Times New Roman" w:hAnsi="Times New Roman" w:cs="Times New Roman"/>
        </w:rPr>
        <w:t>”</w:t>
      </w:r>
      <w:r w:rsidRPr="00113756">
        <w:rPr>
          <w:rFonts w:ascii="Times New Roman" w:hAnsi="Times New Roman" w:cs="Times New Roman"/>
        </w:rPr>
        <w:t>.</w:t>
      </w:r>
      <w:r w:rsidRPr="00113756">
        <w:rPr>
          <w:rStyle w:val="EndnoteReference"/>
          <w:rFonts w:ascii="Times New Roman" w:hAnsi="Times New Roman" w:cs="Times New Roman"/>
        </w:rPr>
        <w:endnoteReference w:id="20"/>
      </w:r>
      <w:r w:rsidR="0070451E" w:rsidRPr="003D5B3F">
        <w:rPr>
          <w:rFonts w:ascii="Times New Roman" w:hAnsi="Times New Roman" w:cs="Times New Roman"/>
        </w:rPr>
        <w:t xml:space="preserve"> The Tenth Circuit held that they would</w:t>
      </w:r>
      <w:r w:rsidR="000737DE">
        <w:rPr>
          <w:rFonts w:ascii="Times New Roman" w:hAnsi="Times New Roman" w:cs="Times New Roman"/>
        </w:rPr>
        <w:t xml:space="preserve"> ha</w:t>
      </w:r>
      <w:r w:rsidR="0070451E" w:rsidRPr="003D5B3F">
        <w:rPr>
          <w:rFonts w:ascii="Times New Roman" w:hAnsi="Times New Roman" w:cs="Times New Roman"/>
        </w:rPr>
        <w:t>ve emphasized different evidence than the Tax Court</w:t>
      </w:r>
      <w:r w:rsidR="000737DE">
        <w:rPr>
          <w:rFonts w:ascii="Times New Roman" w:hAnsi="Times New Roman" w:cs="Times New Roman"/>
        </w:rPr>
        <w:t>,</w:t>
      </w:r>
      <w:r w:rsidR="0070451E" w:rsidRPr="003D5B3F">
        <w:rPr>
          <w:rFonts w:ascii="Times New Roman" w:hAnsi="Times New Roman" w:cs="Times New Roman"/>
        </w:rPr>
        <w:t xml:space="preserve"> but that the Tax Court’s conclusions were supported by overwhelming evidence in the record. </w:t>
      </w:r>
    </w:p>
    <w:p w14:paraId="3D67C285" w14:textId="7F1DE8B6" w:rsidR="001A5446" w:rsidRPr="006A37EF" w:rsidRDefault="0070451E" w:rsidP="0093206A">
      <w:pPr>
        <w:spacing w:line="480" w:lineRule="auto"/>
        <w:ind w:firstLine="720"/>
        <w:jc w:val="both"/>
        <w:rPr>
          <w:rFonts w:ascii="Times New Roman" w:hAnsi="Times New Roman" w:cs="Times New Roman"/>
        </w:rPr>
      </w:pPr>
      <w:r w:rsidRPr="00900B83">
        <w:rPr>
          <w:rFonts w:ascii="Times New Roman" w:hAnsi="Times New Roman" w:cs="Times New Roman"/>
        </w:rPr>
        <w:t>No experience, expertise, or studies supported</w:t>
      </w:r>
      <w:r w:rsidRPr="003D5B3F">
        <w:rPr>
          <w:rFonts w:ascii="Times New Roman" w:hAnsi="Times New Roman" w:cs="Times New Roman"/>
        </w:rPr>
        <w:t xml:space="preserve"> the need for Peak to obtain the</w:t>
      </w:r>
      <w:r w:rsidR="000737DE">
        <w:rPr>
          <w:rFonts w:ascii="Times New Roman" w:hAnsi="Times New Roman" w:cs="Times New Roman"/>
        </w:rPr>
        <w:t xml:space="preserve"> issued</w:t>
      </w:r>
      <w:r w:rsidRPr="003D5B3F">
        <w:rPr>
          <w:rFonts w:ascii="Times New Roman" w:hAnsi="Times New Roman" w:cs="Times New Roman"/>
        </w:rPr>
        <w:t xml:space="preserve"> policies.</w:t>
      </w:r>
      <w:r w:rsidR="00900B83">
        <w:rPr>
          <w:rStyle w:val="EndnoteReference"/>
          <w:rFonts w:ascii="Times New Roman" w:hAnsi="Times New Roman" w:cs="Times New Roman"/>
        </w:rPr>
        <w:endnoteReference w:id="21"/>
      </w:r>
      <w:r w:rsidRPr="003D5B3F">
        <w:rPr>
          <w:rFonts w:ascii="Times New Roman" w:hAnsi="Times New Roman" w:cs="Times New Roman"/>
        </w:rPr>
        <w:t xml:space="preserve"> </w:t>
      </w:r>
      <w:r w:rsidR="003D5B3F">
        <w:rPr>
          <w:rFonts w:ascii="Times New Roman" w:hAnsi="Times New Roman" w:cs="Times New Roman"/>
        </w:rPr>
        <w:t xml:space="preserve">Further, the </w:t>
      </w:r>
      <w:r w:rsidR="000737DE">
        <w:rPr>
          <w:rFonts w:ascii="Times New Roman" w:hAnsi="Times New Roman" w:cs="Times New Roman"/>
        </w:rPr>
        <w:t xml:space="preserve">Tenth </w:t>
      </w:r>
      <w:r w:rsidR="003D5B3F">
        <w:rPr>
          <w:rFonts w:ascii="Times New Roman" w:hAnsi="Times New Roman" w:cs="Times New Roman"/>
        </w:rPr>
        <w:t>Circuit found that</w:t>
      </w:r>
      <w:r w:rsidRPr="003D5B3F">
        <w:rPr>
          <w:rFonts w:ascii="Times New Roman" w:hAnsi="Times New Roman" w:cs="Times New Roman"/>
        </w:rPr>
        <w:t xml:space="preserve"> Reserve raise</w:t>
      </w:r>
      <w:r w:rsidR="003D5B3F">
        <w:rPr>
          <w:rFonts w:ascii="Times New Roman" w:hAnsi="Times New Roman" w:cs="Times New Roman"/>
        </w:rPr>
        <w:t>d</w:t>
      </w:r>
      <w:r w:rsidRPr="003D5B3F">
        <w:rPr>
          <w:rFonts w:ascii="Times New Roman" w:hAnsi="Times New Roman" w:cs="Times New Roman"/>
        </w:rPr>
        <w:t xml:space="preserve"> </w:t>
      </w:r>
      <w:r w:rsidR="003D5B3F">
        <w:rPr>
          <w:rFonts w:ascii="Times New Roman" w:hAnsi="Times New Roman" w:cs="Times New Roman"/>
        </w:rPr>
        <w:t>no</w:t>
      </w:r>
      <w:r w:rsidRPr="003D5B3F">
        <w:rPr>
          <w:rFonts w:ascii="Times New Roman" w:hAnsi="Times New Roman" w:cs="Times New Roman"/>
        </w:rPr>
        <w:t xml:space="preserve"> persuasive challenges to the Tax </w:t>
      </w:r>
      <w:r w:rsidRPr="003D5B3F">
        <w:rPr>
          <w:rFonts w:ascii="Times New Roman" w:hAnsi="Times New Roman" w:cs="Times New Roman"/>
        </w:rPr>
        <w:lastRenderedPageBreak/>
        <w:t>Court’s conclusion</w:t>
      </w:r>
      <w:r w:rsidR="003D5B3F">
        <w:rPr>
          <w:rFonts w:ascii="Times New Roman" w:hAnsi="Times New Roman" w:cs="Times New Roman"/>
        </w:rPr>
        <w:t>.</w:t>
      </w:r>
      <w:r w:rsidRPr="003D5B3F">
        <w:rPr>
          <w:rStyle w:val="EndnoteReference"/>
          <w:rFonts w:ascii="Times New Roman" w:hAnsi="Times New Roman" w:cs="Times New Roman"/>
        </w:rPr>
        <w:endnoteReference w:id="22"/>
      </w:r>
      <w:r w:rsidR="003D5B3F" w:rsidRPr="003D5B3F">
        <w:rPr>
          <w:rFonts w:ascii="Times New Roman" w:hAnsi="Times New Roman" w:cs="Times New Roman"/>
        </w:rPr>
        <w:t xml:space="preserve"> </w:t>
      </w:r>
      <w:r w:rsidR="000737DE">
        <w:rPr>
          <w:rFonts w:ascii="Times New Roman" w:hAnsi="Times New Roman" w:cs="Times New Roman"/>
        </w:rPr>
        <w:t>Despite</w:t>
      </w:r>
      <w:r w:rsidR="001A5446" w:rsidRPr="003D5B3F">
        <w:rPr>
          <w:rFonts w:ascii="Times New Roman" w:hAnsi="Times New Roman" w:cs="Times New Roman"/>
        </w:rPr>
        <w:t xml:space="preserve"> one of Reserve’s expert witness</w:t>
      </w:r>
      <w:r w:rsidR="000737DE">
        <w:rPr>
          <w:rFonts w:ascii="Times New Roman" w:hAnsi="Times New Roman" w:cs="Times New Roman"/>
        </w:rPr>
        <w:t>’ testimony</w:t>
      </w:r>
      <w:r w:rsidR="001A5446" w:rsidRPr="003D5B3F">
        <w:rPr>
          <w:rFonts w:ascii="Times New Roman" w:hAnsi="Times New Roman" w:cs="Times New Roman"/>
        </w:rPr>
        <w:t xml:space="preserve"> that commercial insurance policies were available as an alternative to several of the Reserve policies, </w:t>
      </w:r>
      <w:r w:rsidR="006A37EF">
        <w:rPr>
          <w:rFonts w:ascii="Times New Roman" w:hAnsi="Times New Roman" w:cs="Times New Roman"/>
        </w:rPr>
        <w:t xml:space="preserve">Reserve provided </w:t>
      </w:r>
      <w:r w:rsidR="001A5446" w:rsidRPr="003D5B3F">
        <w:rPr>
          <w:rFonts w:ascii="Times New Roman" w:hAnsi="Times New Roman" w:cs="Times New Roman"/>
        </w:rPr>
        <w:t>no evidence that anyone compared the rates on such policies or otherwise considered industry standards</w:t>
      </w:r>
      <w:r w:rsidR="006A37EF">
        <w:rPr>
          <w:rFonts w:ascii="Times New Roman" w:hAnsi="Times New Roman" w:cs="Times New Roman"/>
        </w:rPr>
        <w:t xml:space="preserve"> in determining its premium rates</w:t>
      </w:r>
      <w:r w:rsidR="001A5446" w:rsidRPr="003D5B3F">
        <w:rPr>
          <w:rFonts w:ascii="Times New Roman" w:hAnsi="Times New Roman" w:cs="Times New Roman"/>
        </w:rPr>
        <w:t xml:space="preserve">. Instead, the record suggests that </w:t>
      </w:r>
      <w:r w:rsidR="006A37EF">
        <w:rPr>
          <w:rFonts w:ascii="Times New Roman" w:hAnsi="Times New Roman" w:cs="Times New Roman"/>
        </w:rPr>
        <w:t>Reserve</w:t>
      </w:r>
      <w:r w:rsidR="001A5446" w:rsidRPr="003D5B3F">
        <w:rPr>
          <w:rFonts w:ascii="Times New Roman" w:hAnsi="Times New Roman" w:cs="Times New Roman"/>
        </w:rPr>
        <w:t xml:space="preserve"> based the rates on the premiums charged by other captive insurers </w:t>
      </w:r>
      <w:r w:rsidR="001A5446" w:rsidRPr="006313D0">
        <w:rPr>
          <w:rFonts w:ascii="Times New Roman" w:hAnsi="Times New Roman" w:cs="Times New Roman"/>
        </w:rPr>
        <w:t>managed by Capstone.</w:t>
      </w:r>
      <w:r w:rsidR="006313D0" w:rsidRPr="006313D0">
        <w:rPr>
          <w:rStyle w:val="EndnoteReference"/>
          <w:rFonts w:ascii="Times New Roman" w:hAnsi="Times New Roman" w:cs="Times New Roman"/>
        </w:rPr>
        <w:endnoteReference w:id="23"/>
      </w:r>
      <w:r w:rsidR="001A5446" w:rsidRPr="003D5B3F">
        <w:rPr>
          <w:rFonts w:ascii="Times New Roman" w:hAnsi="Times New Roman" w:cs="Times New Roman"/>
        </w:rPr>
        <w:t xml:space="preserve"> </w:t>
      </w:r>
    </w:p>
    <w:p w14:paraId="7D5608C1" w14:textId="6559FC67" w:rsidR="009E6845" w:rsidRPr="00F870C4" w:rsidRDefault="00ED369B" w:rsidP="0093206A">
      <w:pPr>
        <w:spacing w:line="480" w:lineRule="auto"/>
        <w:ind w:firstLine="720"/>
        <w:jc w:val="both"/>
        <w:rPr>
          <w:rFonts w:asciiTheme="majorBidi" w:hAnsiTheme="majorBidi" w:cstheme="majorBidi"/>
          <w:color w:val="000000" w:themeColor="text1"/>
        </w:rPr>
      </w:pPr>
      <w:r>
        <w:rPr>
          <w:rFonts w:asciiTheme="majorBidi" w:hAnsiTheme="majorBidi" w:cstheme="majorBidi"/>
        </w:rPr>
        <w:t xml:space="preserve">The Tenth Circuit doubted the actuarial methodology used to determine the </w:t>
      </w:r>
      <w:proofErr w:type="gramStart"/>
      <w:r>
        <w:rPr>
          <w:rFonts w:asciiTheme="majorBidi" w:hAnsiTheme="majorBidi" w:cstheme="majorBidi"/>
        </w:rPr>
        <w:t xml:space="preserve">premiums, </w:t>
      </w:r>
      <w:r w:rsidR="00515CF8">
        <w:rPr>
          <w:rFonts w:asciiTheme="majorBidi" w:hAnsiTheme="majorBidi" w:cstheme="majorBidi"/>
        </w:rPr>
        <w:t>and</w:t>
      </w:r>
      <w:proofErr w:type="gramEnd"/>
      <w:r w:rsidR="00515CF8">
        <w:rPr>
          <w:rFonts w:asciiTheme="majorBidi" w:hAnsiTheme="majorBidi" w:cstheme="majorBidi"/>
        </w:rPr>
        <w:t xml:space="preserve"> </w:t>
      </w:r>
      <w:r>
        <w:rPr>
          <w:rFonts w:asciiTheme="majorBidi" w:hAnsiTheme="majorBidi" w:cstheme="majorBidi"/>
        </w:rPr>
        <w:t>determin</w:t>
      </w:r>
      <w:r w:rsidR="00515CF8">
        <w:rPr>
          <w:rFonts w:asciiTheme="majorBidi" w:hAnsiTheme="majorBidi" w:cstheme="majorBidi"/>
        </w:rPr>
        <w:t xml:space="preserve">ed </w:t>
      </w:r>
      <w:r>
        <w:rPr>
          <w:rFonts w:asciiTheme="majorBidi" w:hAnsiTheme="majorBidi" w:cstheme="majorBidi"/>
        </w:rPr>
        <w:t xml:space="preserve">that these insurance contracts were not negotiated at </w:t>
      </w:r>
      <w:r w:rsidR="009E6845">
        <w:rPr>
          <w:rFonts w:asciiTheme="majorBidi" w:hAnsiTheme="majorBidi" w:cstheme="majorBidi"/>
        </w:rPr>
        <w:t>arm’s length</w:t>
      </w:r>
      <w:r>
        <w:rPr>
          <w:rFonts w:asciiTheme="majorBidi" w:hAnsiTheme="majorBidi" w:cstheme="majorBidi"/>
        </w:rPr>
        <w:t>.</w:t>
      </w:r>
      <w:r w:rsidR="000913B3" w:rsidRPr="003150A1">
        <w:rPr>
          <w:rStyle w:val="EndnoteReference"/>
          <w:rFonts w:asciiTheme="majorBidi" w:hAnsiTheme="majorBidi" w:cs="Times New Roman (Headings CS)"/>
        </w:rPr>
        <w:endnoteReference w:id="24"/>
      </w:r>
      <w:r w:rsidR="009E6845">
        <w:rPr>
          <w:rFonts w:asciiTheme="majorBidi" w:hAnsiTheme="majorBidi" w:cstheme="majorBidi"/>
        </w:rPr>
        <w:t xml:space="preserve"> The many inconsistencies in Reserve’s business practices made it impossible for the Tenth Circuit to take seriously Reserve’s claim that it was a bona fide insurance company engaged in the business of insurance. </w:t>
      </w:r>
      <w:r w:rsidR="00611428">
        <w:rPr>
          <w:rFonts w:asciiTheme="majorBidi" w:hAnsiTheme="majorBidi" w:cstheme="majorBidi"/>
        </w:rPr>
        <w:t>As a result</w:t>
      </w:r>
      <w:r w:rsidR="00515CF8">
        <w:rPr>
          <w:rFonts w:asciiTheme="majorBidi" w:hAnsiTheme="majorBidi" w:cstheme="majorBidi"/>
        </w:rPr>
        <w:t>,</w:t>
      </w:r>
      <w:r w:rsidR="00611428">
        <w:rPr>
          <w:rFonts w:asciiTheme="majorBidi" w:hAnsiTheme="majorBidi" w:cstheme="majorBidi"/>
        </w:rPr>
        <w:t xml:space="preserve"> </w:t>
      </w:r>
      <w:r w:rsidR="00515CF8">
        <w:rPr>
          <w:rFonts w:asciiTheme="majorBidi" w:hAnsiTheme="majorBidi" w:cstheme="majorBidi"/>
        </w:rPr>
        <w:t xml:space="preserve">the </w:t>
      </w:r>
      <w:r w:rsidR="009E6845">
        <w:rPr>
          <w:rFonts w:asciiTheme="majorBidi" w:hAnsiTheme="majorBidi" w:cstheme="majorBidi"/>
        </w:rPr>
        <w:t>Tenth Circuit</w:t>
      </w:r>
      <w:r w:rsidR="00611428">
        <w:rPr>
          <w:rFonts w:asciiTheme="majorBidi" w:hAnsiTheme="majorBidi" w:cstheme="majorBidi"/>
        </w:rPr>
        <w:t xml:space="preserve">’s decision that Reserve’s policies were not actual </w:t>
      </w:r>
      <w:r w:rsidR="00611428" w:rsidRPr="00F870C4">
        <w:rPr>
          <w:rFonts w:asciiTheme="majorBidi" w:hAnsiTheme="majorBidi" w:cstheme="majorBidi"/>
          <w:color w:val="000000" w:themeColor="text1"/>
        </w:rPr>
        <w:t>insurance</w:t>
      </w:r>
      <w:r w:rsidR="00515CF8">
        <w:rPr>
          <w:rFonts w:asciiTheme="majorBidi" w:hAnsiTheme="majorBidi" w:cstheme="majorBidi"/>
          <w:color w:val="000000" w:themeColor="text1"/>
        </w:rPr>
        <w:t xml:space="preserve"> feels like a layup and the i</w:t>
      </w:r>
      <w:r w:rsidR="0039146F" w:rsidRPr="00F870C4">
        <w:rPr>
          <w:rFonts w:asciiTheme="majorBidi" w:hAnsiTheme="majorBidi" w:cstheme="majorBidi"/>
          <w:color w:val="000000" w:themeColor="text1"/>
        </w:rPr>
        <w:t>ntensity of the court’s contempt for this aggressive CIC program</w:t>
      </w:r>
      <w:r w:rsidR="006A37EF" w:rsidRPr="00F870C4">
        <w:rPr>
          <w:rFonts w:asciiTheme="majorBidi" w:hAnsiTheme="majorBidi" w:cstheme="majorBidi"/>
          <w:color w:val="000000" w:themeColor="text1"/>
        </w:rPr>
        <w:t xml:space="preserve"> </w:t>
      </w:r>
      <w:r w:rsidR="0039146F" w:rsidRPr="00F870C4">
        <w:rPr>
          <w:rFonts w:asciiTheme="majorBidi" w:hAnsiTheme="majorBidi" w:cstheme="majorBidi"/>
          <w:color w:val="000000" w:themeColor="text1"/>
        </w:rPr>
        <w:t>should be very concern</w:t>
      </w:r>
      <w:r w:rsidR="006A37EF" w:rsidRPr="00F870C4">
        <w:rPr>
          <w:rFonts w:asciiTheme="majorBidi" w:hAnsiTheme="majorBidi" w:cstheme="majorBidi"/>
          <w:color w:val="000000" w:themeColor="text1"/>
        </w:rPr>
        <w:t xml:space="preserve">ing to other </w:t>
      </w:r>
      <w:r w:rsidR="00515CF8">
        <w:rPr>
          <w:rFonts w:asciiTheme="majorBidi" w:hAnsiTheme="majorBidi" w:cstheme="majorBidi"/>
          <w:color w:val="000000" w:themeColor="text1"/>
        </w:rPr>
        <w:t>similarly situated</w:t>
      </w:r>
      <w:r w:rsidR="00515CF8" w:rsidRPr="00F870C4">
        <w:rPr>
          <w:rFonts w:asciiTheme="majorBidi" w:hAnsiTheme="majorBidi" w:cstheme="majorBidi"/>
          <w:color w:val="000000" w:themeColor="text1"/>
        </w:rPr>
        <w:t xml:space="preserve"> </w:t>
      </w:r>
      <w:r w:rsidR="006A37EF" w:rsidRPr="00F870C4">
        <w:rPr>
          <w:rFonts w:asciiTheme="majorBidi" w:hAnsiTheme="majorBidi" w:cstheme="majorBidi"/>
          <w:color w:val="000000" w:themeColor="text1"/>
        </w:rPr>
        <w:t xml:space="preserve">CIC </w:t>
      </w:r>
      <w:r w:rsidR="00515CF8">
        <w:rPr>
          <w:rFonts w:asciiTheme="majorBidi" w:hAnsiTheme="majorBidi" w:cstheme="majorBidi"/>
          <w:color w:val="000000" w:themeColor="text1"/>
        </w:rPr>
        <w:t>owners</w:t>
      </w:r>
      <w:r w:rsidR="006A37EF" w:rsidRPr="00F870C4">
        <w:rPr>
          <w:rFonts w:asciiTheme="majorBidi" w:hAnsiTheme="majorBidi" w:cstheme="majorBidi"/>
          <w:color w:val="000000" w:themeColor="text1"/>
        </w:rPr>
        <w:t xml:space="preserve">.  </w:t>
      </w:r>
      <w:r w:rsidR="0039146F" w:rsidRPr="00F870C4">
        <w:rPr>
          <w:rFonts w:asciiTheme="majorBidi" w:hAnsiTheme="majorBidi" w:cstheme="majorBidi"/>
          <w:color w:val="000000" w:themeColor="text1"/>
        </w:rPr>
        <w:t xml:space="preserve">  </w:t>
      </w:r>
    </w:p>
    <w:p w14:paraId="3D22BBCA" w14:textId="19A356A8" w:rsidR="005E01C8" w:rsidRPr="00F16971" w:rsidRDefault="00F16971" w:rsidP="001A2A32">
      <w:pPr>
        <w:spacing w:line="480" w:lineRule="auto"/>
        <w:jc w:val="both"/>
        <w:rPr>
          <w:rFonts w:asciiTheme="majorBidi" w:hAnsiTheme="majorBidi" w:cstheme="majorBidi"/>
          <w:i/>
          <w:iCs/>
          <w:u w:val="single"/>
        </w:rPr>
      </w:pPr>
      <w:r w:rsidRPr="00F16971">
        <w:rPr>
          <w:rFonts w:asciiTheme="majorBidi" w:hAnsiTheme="majorBidi" w:cstheme="majorBidi"/>
          <w:i/>
          <w:iCs/>
          <w:u w:val="single"/>
        </w:rPr>
        <w:t>Conclusion</w:t>
      </w:r>
    </w:p>
    <w:p w14:paraId="670CF352" w14:textId="4B4C1E83" w:rsidR="00F16971" w:rsidRPr="00C07DF4" w:rsidRDefault="009E6845" w:rsidP="00F16971">
      <w:pPr>
        <w:spacing w:line="480" w:lineRule="auto"/>
        <w:jc w:val="both"/>
        <w:rPr>
          <w:rFonts w:asciiTheme="majorBidi" w:hAnsiTheme="majorBidi" w:cstheme="majorBidi"/>
        </w:rPr>
      </w:pPr>
      <w:r>
        <w:rPr>
          <w:rFonts w:asciiTheme="majorBidi" w:hAnsiTheme="majorBidi" w:cstheme="majorBidi"/>
        </w:rPr>
        <w:tab/>
      </w:r>
      <w:r w:rsidR="00D64E11">
        <w:rPr>
          <w:rFonts w:asciiTheme="majorBidi" w:hAnsiTheme="majorBidi" w:cstheme="majorBidi"/>
        </w:rPr>
        <w:t>The 10</w:t>
      </w:r>
      <w:r w:rsidR="00D64E11" w:rsidRPr="00D64E11">
        <w:rPr>
          <w:rFonts w:asciiTheme="majorBidi" w:hAnsiTheme="majorBidi" w:cstheme="majorBidi"/>
          <w:vertAlign w:val="superscript"/>
        </w:rPr>
        <w:t>th</w:t>
      </w:r>
      <w:r w:rsidR="00D64E11">
        <w:rPr>
          <w:rFonts w:asciiTheme="majorBidi" w:hAnsiTheme="majorBidi" w:cstheme="majorBidi"/>
        </w:rPr>
        <w:t xml:space="preserve"> Circuit decision in </w:t>
      </w:r>
      <w:r w:rsidR="00340601">
        <w:rPr>
          <w:rFonts w:asciiTheme="majorBidi" w:hAnsiTheme="majorBidi" w:cstheme="majorBidi"/>
          <w:i/>
          <w:iCs/>
        </w:rPr>
        <w:t xml:space="preserve">Reserve Mechanical </w:t>
      </w:r>
      <w:r w:rsidR="00D4518C">
        <w:rPr>
          <w:rFonts w:asciiTheme="majorBidi" w:hAnsiTheme="majorBidi" w:cstheme="majorBidi"/>
        </w:rPr>
        <w:t xml:space="preserve">was </w:t>
      </w:r>
      <w:r w:rsidR="00D64E11">
        <w:rPr>
          <w:rFonts w:asciiTheme="majorBidi" w:hAnsiTheme="majorBidi" w:cstheme="majorBidi"/>
        </w:rPr>
        <w:t>a major boost</w:t>
      </w:r>
      <w:r w:rsidR="00D4518C">
        <w:rPr>
          <w:rFonts w:asciiTheme="majorBidi" w:hAnsiTheme="majorBidi" w:cstheme="majorBidi"/>
        </w:rPr>
        <w:t xml:space="preserve"> </w:t>
      </w:r>
      <w:r w:rsidR="00D64E11">
        <w:rPr>
          <w:rFonts w:asciiTheme="majorBidi" w:hAnsiTheme="majorBidi" w:cstheme="majorBidi"/>
        </w:rPr>
        <w:t>in</w:t>
      </w:r>
      <w:r w:rsidR="00D4518C">
        <w:rPr>
          <w:rFonts w:asciiTheme="majorBidi" w:hAnsiTheme="majorBidi" w:cstheme="majorBidi"/>
        </w:rPr>
        <w:t xml:space="preserve"> the IRS’s </w:t>
      </w:r>
      <w:r w:rsidR="007B4F22">
        <w:rPr>
          <w:rFonts w:asciiTheme="majorBidi" w:hAnsiTheme="majorBidi" w:cstheme="majorBidi"/>
        </w:rPr>
        <w:t xml:space="preserve">overall </w:t>
      </w:r>
      <w:r w:rsidR="00D64E11">
        <w:rPr>
          <w:rFonts w:asciiTheme="majorBidi" w:hAnsiTheme="majorBidi" w:cstheme="majorBidi"/>
        </w:rPr>
        <w:t xml:space="preserve">attack </w:t>
      </w:r>
      <w:r w:rsidR="00D4518C">
        <w:rPr>
          <w:rFonts w:asciiTheme="majorBidi" w:hAnsiTheme="majorBidi" w:cstheme="majorBidi"/>
        </w:rPr>
        <w:t xml:space="preserve">on aggressive CIC tax programs. If </w:t>
      </w:r>
      <w:r w:rsidR="00D4518C">
        <w:rPr>
          <w:rFonts w:asciiTheme="majorBidi" w:hAnsiTheme="majorBidi" w:cstheme="majorBidi"/>
          <w:i/>
          <w:iCs/>
        </w:rPr>
        <w:t xml:space="preserve">Reserve </w:t>
      </w:r>
      <w:r w:rsidR="00D4518C">
        <w:rPr>
          <w:rFonts w:asciiTheme="majorBidi" w:hAnsiTheme="majorBidi" w:cstheme="majorBidi"/>
        </w:rPr>
        <w:t xml:space="preserve">had won on appeal, then the </w:t>
      </w:r>
      <w:r w:rsidR="00D64E11">
        <w:rPr>
          <w:rFonts w:asciiTheme="majorBidi" w:hAnsiTheme="majorBidi" w:cstheme="majorBidi"/>
        </w:rPr>
        <w:t xml:space="preserve">aggressive CIC </w:t>
      </w:r>
      <w:r w:rsidR="00D4518C">
        <w:rPr>
          <w:rFonts w:asciiTheme="majorBidi" w:hAnsiTheme="majorBidi" w:cstheme="majorBidi"/>
        </w:rPr>
        <w:t xml:space="preserve">industry would </w:t>
      </w:r>
      <w:r w:rsidR="00D64E11">
        <w:rPr>
          <w:rFonts w:asciiTheme="majorBidi" w:hAnsiTheme="majorBidi" w:cstheme="majorBidi"/>
        </w:rPr>
        <w:t>have at least one major case to stand on. The IRS</w:t>
      </w:r>
      <w:r w:rsidR="00515CF8">
        <w:rPr>
          <w:rFonts w:asciiTheme="majorBidi" w:hAnsiTheme="majorBidi" w:cstheme="majorBidi"/>
        </w:rPr>
        <w:t>’s</w:t>
      </w:r>
      <w:r w:rsidR="00D64E11">
        <w:rPr>
          <w:rFonts w:asciiTheme="majorBidi" w:hAnsiTheme="majorBidi" w:cstheme="majorBidi"/>
        </w:rPr>
        <w:t xml:space="preserve"> </w:t>
      </w:r>
      <w:r w:rsidR="00D64E11" w:rsidRPr="00D64E11">
        <w:rPr>
          <w:rFonts w:asciiTheme="majorBidi" w:hAnsiTheme="majorBidi" w:cstheme="majorBidi"/>
          <w:i/>
          <w:iCs/>
        </w:rPr>
        <w:t>Reserve Mechanical</w:t>
      </w:r>
      <w:r w:rsidR="00D64E11">
        <w:rPr>
          <w:rFonts w:asciiTheme="majorBidi" w:hAnsiTheme="majorBidi" w:cstheme="majorBidi"/>
        </w:rPr>
        <w:t xml:space="preserve"> win was the biggest in a </w:t>
      </w:r>
      <w:r w:rsidR="00F16971">
        <w:rPr>
          <w:rFonts w:asciiTheme="majorBidi" w:hAnsiTheme="majorBidi" w:cstheme="majorBidi"/>
        </w:rPr>
        <w:t xml:space="preserve">line of IRS wins in cases on similar grounds.  As such, the aggressive CIC industry must either change its ways or </w:t>
      </w:r>
      <w:proofErr w:type="gramStart"/>
      <w:r w:rsidR="00F16971">
        <w:rPr>
          <w:rFonts w:asciiTheme="majorBidi" w:hAnsiTheme="majorBidi" w:cstheme="majorBidi"/>
        </w:rPr>
        <w:t>close up</w:t>
      </w:r>
      <w:proofErr w:type="gramEnd"/>
      <w:r w:rsidR="00F16971">
        <w:rPr>
          <w:rFonts w:asciiTheme="majorBidi" w:hAnsiTheme="majorBidi" w:cstheme="majorBidi"/>
        </w:rPr>
        <w:t xml:space="preserve"> shop, because the IRS appears determined to shut it down one way or another, and the judiciary is giving it all the ammunition it needs to do so.   </w:t>
      </w:r>
    </w:p>
    <w:p w14:paraId="3C6B7713" w14:textId="118EEAFB" w:rsidR="00CE30FC" w:rsidRPr="00C07DF4" w:rsidRDefault="00CE30FC" w:rsidP="001A2A32">
      <w:pPr>
        <w:spacing w:line="480" w:lineRule="auto"/>
        <w:jc w:val="both"/>
        <w:rPr>
          <w:rFonts w:asciiTheme="majorBidi" w:hAnsiTheme="majorBidi" w:cstheme="majorBidi"/>
        </w:rPr>
      </w:pPr>
    </w:p>
    <w:sectPr w:rsidR="00CE30FC" w:rsidRPr="00C07DF4" w:rsidSect="004E2693">
      <w:footerReference w:type="even" r:id="rId7"/>
      <w:footerReference w:type="default" r:id="rId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F67F" w14:textId="77777777" w:rsidR="002C03B3" w:rsidRDefault="002C03B3" w:rsidP="00D84A2E">
      <w:r>
        <w:separator/>
      </w:r>
    </w:p>
  </w:endnote>
  <w:endnote w:type="continuationSeparator" w:id="0">
    <w:p w14:paraId="72C6A7ED" w14:textId="77777777" w:rsidR="002C03B3" w:rsidRDefault="002C03B3" w:rsidP="00D84A2E">
      <w:r>
        <w:continuationSeparator/>
      </w:r>
    </w:p>
  </w:endnote>
  <w:endnote w:id="1">
    <w:p w14:paraId="04EF7D21" w14:textId="77777777" w:rsidR="007930DA" w:rsidRPr="0093206A" w:rsidRDefault="007930DA" w:rsidP="003025E3">
      <w:pPr>
        <w:rPr>
          <w:rFonts w:eastAsia="Times New Roman" w:cstheme="minorHAnsi"/>
          <w:color w:val="000000" w:themeColor="text1"/>
        </w:rPr>
      </w:pPr>
      <w:r w:rsidRPr="000B12E2">
        <w:rPr>
          <w:rStyle w:val="EndnoteReference"/>
          <w:rFonts w:ascii="Times New Roman" w:hAnsi="Times New Roman" w:cs="Times New Roman"/>
          <w:color w:val="000000" w:themeColor="text1"/>
          <w:sz w:val="20"/>
          <w:szCs w:val="20"/>
        </w:rPr>
        <w:endnoteRef/>
      </w:r>
      <w:r w:rsidRPr="000B12E2">
        <w:rPr>
          <w:rFonts w:ascii="Times New Roman" w:hAnsi="Times New Roman" w:cs="Times New Roman"/>
          <w:color w:val="000000" w:themeColor="text1"/>
          <w:sz w:val="20"/>
          <w:szCs w:val="20"/>
        </w:rPr>
        <w:t xml:space="preserve"> </w:t>
      </w:r>
      <w:r w:rsidRPr="0093206A">
        <w:rPr>
          <w:rFonts w:cstheme="minorHAnsi"/>
          <w:color w:val="000000" w:themeColor="text1"/>
          <w:sz w:val="20"/>
          <w:szCs w:val="20"/>
        </w:rPr>
        <w:t xml:space="preserve">Prof. Beckett Cantley (University of California, Berkley, B.A. 1989; Southwestern University School of Law, J.D. cum laude 1995; and University of Florida, College of Law, LL.M. in Taxation, 1997), teaches International Taxation at Northeastern University and is a shareholder in Cantley Dietrich, LLC. Prof. Cantley would like to thank Melissa Cantley and his law clerk, Beckett L. Cantley, for their contributions to this article.   </w:t>
      </w:r>
    </w:p>
  </w:endnote>
  <w:endnote w:id="2">
    <w:p w14:paraId="72A01DD2" w14:textId="7DABEB67" w:rsidR="007930DA" w:rsidRPr="0093206A" w:rsidRDefault="007930DA" w:rsidP="007930DA">
      <w:pPr>
        <w:pStyle w:val="EndnoteText"/>
        <w:jc w:val="both"/>
        <w:rPr>
          <w:rFonts w:cstheme="minorHAnsi"/>
          <w:color w:val="000000" w:themeColor="text1"/>
        </w:rPr>
      </w:pPr>
      <w:r w:rsidRPr="0093206A">
        <w:rPr>
          <w:rStyle w:val="EndnoteReference"/>
          <w:rFonts w:cstheme="minorHAnsi"/>
          <w:color w:val="000000" w:themeColor="text1"/>
        </w:rPr>
        <w:endnoteRef/>
      </w:r>
      <w:r w:rsidRPr="0093206A">
        <w:rPr>
          <w:rFonts w:cstheme="minorHAnsi"/>
          <w:color w:val="000000" w:themeColor="text1"/>
        </w:rPr>
        <w:t xml:space="preserve"> Geoffrey Dietrich, Esq. (United States Military Academy at West Point, B.S. 2000; Brigham Young University Law School, J.D. 2008) is a shareholder in Cantley Dietrich, LLC.</w:t>
      </w:r>
    </w:p>
  </w:endnote>
  <w:endnote w:id="3">
    <w:p w14:paraId="241F3D2D" w14:textId="77777777" w:rsidR="007930DA" w:rsidRPr="00515CF8" w:rsidRDefault="007930DA" w:rsidP="00070211">
      <w:pPr>
        <w:pStyle w:val="EndnoteText"/>
        <w:rPr>
          <w:rFonts w:cstheme="minorHAnsi"/>
        </w:rPr>
      </w:pPr>
      <w:r w:rsidRPr="00515CF8">
        <w:rPr>
          <w:rStyle w:val="EndnoteReference"/>
          <w:rFonts w:cstheme="minorHAnsi"/>
        </w:rPr>
        <w:endnoteRef/>
      </w:r>
      <w:r w:rsidRPr="00515CF8">
        <w:rPr>
          <w:rFonts w:cstheme="minorHAnsi"/>
        </w:rPr>
        <w:t xml:space="preserve"> </w:t>
      </w:r>
      <w:r w:rsidRPr="00515CF8">
        <w:rPr>
          <w:rFonts w:cstheme="minorHAnsi"/>
          <w:i/>
          <w:iCs/>
        </w:rPr>
        <w:t>Reserve Mech. Corp. v. Comm'r</w:t>
      </w:r>
      <w:r w:rsidRPr="00515CF8">
        <w:rPr>
          <w:rFonts w:cstheme="minorHAnsi"/>
        </w:rPr>
        <w:t>, T.C. Memo. 2018-86 (U.S.T.C. Jun. 18, 2018).</w:t>
      </w:r>
    </w:p>
  </w:endnote>
  <w:endnote w:id="4">
    <w:p w14:paraId="143C4FB7" w14:textId="333CA9AB" w:rsidR="00D84A2E" w:rsidRPr="00515CF8" w:rsidRDefault="00D84A2E">
      <w:pPr>
        <w:pStyle w:val="EndnoteText"/>
        <w:rPr>
          <w:rFonts w:cstheme="minorHAnsi"/>
        </w:rPr>
      </w:pPr>
      <w:r w:rsidRPr="00515CF8">
        <w:rPr>
          <w:rStyle w:val="EndnoteReference"/>
          <w:rFonts w:cstheme="minorHAnsi"/>
        </w:rPr>
        <w:endnoteRef/>
      </w:r>
      <w:r w:rsidRPr="00515CF8">
        <w:rPr>
          <w:rFonts w:cstheme="minorHAnsi"/>
        </w:rPr>
        <w:t xml:space="preserve"> </w:t>
      </w:r>
      <w:r w:rsidR="00920E3C" w:rsidRPr="0093206A">
        <w:rPr>
          <w:rFonts w:cstheme="minorHAnsi"/>
          <w:i/>
          <w:iCs/>
          <w:color w:val="000000" w:themeColor="text1"/>
        </w:rPr>
        <w:t>Reserve Mech. Corp. v. Comm'r of Internal Revenue</w:t>
      </w:r>
      <w:r w:rsidR="00920E3C" w:rsidRPr="0093206A">
        <w:rPr>
          <w:rFonts w:cstheme="minorHAnsi"/>
          <w:color w:val="000000" w:themeColor="text1"/>
        </w:rPr>
        <w:t>, 34 F.4th 881 (10th Cir. 2022), https://www.ca10.uscourts.gov/sites/ca10/files/opinions/010110683986.pdf</w:t>
      </w:r>
    </w:p>
  </w:endnote>
  <w:endnote w:id="5">
    <w:p w14:paraId="32DBCDF7" w14:textId="32D1BA79" w:rsidR="006A2036" w:rsidRPr="00515CF8" w:rsidRDefault="006A2036">
      <w:pPr>
        <w:pStyle w:val="EndnoteText"/>
        <w:rPr>
          <w:rFonts w:cstheme="minorHAnsi"/>
        </w:rPr>
      </w:pPr>
      <w:r w:rsidRPr="00515CF8">
        <w:rPr>
          <w:rStyle w:val="EndnoteReference"/>
          <w:rFonts w:cstheme="minorHAnsi"/>
        </w:rPr>
        <w:endnoteRef/>
      </w:r>
      <w:r w:rsidRPr="00515CF8">
        <w:rPr>
          <w:rFonts w:cstheme="minorHAnsi"/>
          <w:i/>
          <w:iCs/>
        </w:rPr>
        <w:t xml:space="preserve"> </w:t>
      </w:r>
      <w:r w:rsidR="004A6403" w:rsidRPr="00515CF8">
        <w:rPr>
          <w:rFonts w:cstheme="minorHAnsi"/>
          <w:i/>
          <w:iCs/>
        </w:rPr>
        <w:t>I</w:t>
      </w:r>
      <w:r w:rsidRPr="00515CF8">
        <w:rPr>
          <w:rFonts w:cstheme="minorHAnsi"/>
          <w:i/>
          <w:iCs/>
        </w:rPr>
        <w:t>d.</w:t>
      </w:r>
    </w:p>
  </w:endnote>
  <w:endnote w:id="6">
    <w:p w14:paraId="56678F40" w14:textId="208F8442" w:rsidR="00920E3C" w:rsidRPr="00515CF8" w:rsidRDefault="00920E3C">
      <w:pPr>
        <w:pStyle w:val="EndnoteText"/>
        <w:rPr>
          <w:rFonts w:cstheme="minorHAnsi"/>
        </w:rPr>
      </w:pPr>
      <w:r w:rsidRPr="00515CF8">
        <w:rPr>
          <w:rStyle w:val="EndnoteReference"/>
          <w:rFonts w:cstheme="minorHAnsi"/>
        </w:rPr>
        <w:endnoteRef/>
      </w:r>
      <w:r w:rsidRPr="00515CF8">
        <w:rPr>
          <w:rFonts w:cstheme="minorHAnsi"/>
        </w:rPr>
        <w:t xml:space="preserve"> </w:t>
      </w:r>
      <w:r w:rsidRPr="0093206A">
        <w:rPr>
          <w:rFonts w:cstheme="minorHAnsi"/>
          <w:color w:val="000000" w:themeColor="text1"/>
        </w:rPr>
        <w:t xml:space="preserve">IRC § 501(c)(15).  </w:t>
      </w:r>
    </w:p>
  </w:endnote>
  <w:endnote w:id="7">
    <w:p w14:paraId="62CF989E" w14:textId="4C17CF49" w:rsidR="00920E3C" w:rsidRPr="00515CF8" w:rsidRDefault="00920E3C">
      <w:pPr>
        <w:pStyle w:val="EndnoteText"/>
        <w:rPr>
          <w:rFonts w:cstheme="minorHAnsi"/>
        </w:rPr>
      </w:pPr>
      <w:r w:rsidRPr="00515CF8">
        <w:rPr>
          <w:rStyle w:val="EndnoteReference"/>
          <w:rFonts w:cstheme="minorHAnsi"/>
        </w:rPr>
        <w:endnoteRef/>
      </w:r>
      <w:r w:rsidRPr="00515CF8">
        <w:rPr>
          <w:rFonts w:cstheme="minorHAnsi"/>
        </w:rPr>
        <w:t xml:space="preserve"> </w:t>
      </w:r>
      <w:r w:rsidRPr="00515CF8">
        <w:rPr>
          <w:rFonts w:cstheme="minorHAnsi"/>
          <w:i/>
          <w:iCs/>
        </w:rPr>
        <w:t>Reserve Mech. Corp. v. Comm'r</w:t>
      </w:r>
      <w:r w:rsidRPr="00515CF8">
        <w:rPr>
          <w:rFonts w:cstheme="minorHAnsi"/>
        </w:rPr>
        <w:t>, T.C. Memo. 2018-86 (U.S.T.C. Jun. 18, 2018) at p. 42, https://www.ustaxcourt.gov/opinions/2018/TCMemo_2018-86.pdf</w:t>
      </w:r>
    </w:p>
  </w:endnote>
  <w:endnote w:id="8">
    <w:p w14:paraId="550A504D" w14:textId="22BF9328" w:rsidR="00CD7DB0" w:rsidRPr="00515CF8" w:rsidRDefault="00CD7DB0">
      <w:pPr>
        <w:pStyle w:val="EndnoteText"/>
        <w:rPr>
          <w:rFonts w:cstheme="minorHAnsi"/>
        </w:rPr>
      </w:pPr>
      <w:r w:rsidRPr="00515CF8">
        <w:rPr>
          <w:rStyle w:val="EndnoteReference"/>
          <w:rFonts w:cstheme="minorHAnsi"/>
        </w:rPr>
        <w:endnoteRef/>
      </w:r>
      <w:r w:rsidRPr="00515CF8">
        <w:rPr>
          <w:rFonts w:cstheme="minorHAnsi"/>
        </w:rPr>
        <w:t xml:space="preserve"> IRC </w:t>
      </w:r>
      <w:r w:rsidRPr="0093206A">
        <w:rPr>
          <w:rFonts w:cstheme="minorHAnsi"/>
          <w:color w:val="000000" w:themeColor="text1"/>
        </w:rPr>
        <w:t xml:space="preserve">§ 501(c)(15).  </w:t>
      </w:r>
    </w:p>
  </w:endnote>
  <w:endnote w:id="9">
    <w:p w14:paraId="30F17319" w14:textId="497C657E" w:rsidR="00920E3C" w:rsidRPr="0093206A" w:rsidRDefault="00920E3C">
      <w:pPr>
        <w:pStyle w:val="EndnoteText"/>
        <w:rPr>
          <w:rFonts w:cstheme="minorHAnsi"/>
          <w:color w:val="000000" w:themeColor="text1"/>
        </w:rPr>
      </w:pPr>
      <w:r w:rsidRPr="00515CF8">
        <w:rPr>
          <w:rStyle w:val="EndnoteReference"/>
          <w:rFonts w:cstheme="minorHAnsi"/>
        </w:rPr>
        <w:endnoteRef/>
      </w:r>
      <w:r w:rsidRPr="00515CF8">
        <w:rPr>
          <w:rFonts w:cstheme="minorHAnsi"/>
        </w:rPr>
        <w:t xml:space="preserve"> </w:t>
      </w:r>
      <w:r w:rsidRPr="0093206A">
        <w:rPr>
          <w:rFonts w:cstheme="minorHAnsi"/>
          <w:color w:val="000000" w:themeColor="text1"/>
        </w:rPr>
        <w:t xml:space="preserve">IRC § </w:t>
      </w:r>
      <w:r w:rsidR="00CD7DB0" w:rsidRPr="0093206A">
        <w:rPr>
          <w:rFonts w:cstheme="minorHAnsi"/>
          <w:color w:val="000000" w:themeColor="text1"/>
        </w:rPr>
        <w:t>831(b)</w:t>
      </w:r>
      <w:r w:rsidRPr="0093206A">
        <w:rPr>
          <w:rFonts w:cstheme="minorHAnsi"/>
          <w:color w:val="000000" w:themeColor="text1"/>
        </w:rPr>
        <w:t xml:space="preserve">.  </w:t>
      </w:r>
    </w:p>
  </w:endnote>
  <w:endnote w:id="10">
    <w:p w14:paraId="0469A43E" w14:textId="5653475A" w:rsidR="00920E3C" w:rsidRPr="00515CF8" w:rsidRDefault="00920E3C">
      <w:pPr>
        <w:pStyle w:val="EndnoteText"/>
        <w:rPr>
          <w:rFonts w:cstheme="minorHAnsi"/>
        </w:rPr>
      </w:pPr>
      <w:r w:rsidRPr="00515CF8">
        <w:rPr>
          <w:rStyle w:val="EndnoteReference"/>
          <w:rFonts w:cstheme="minorHAnsi"/>
        </w:rPr>
        <w:endnoteRef/>
      </w:r>
      <w:r w:rsidRPr="00515CF8">
        <w:rPr>
          <w:rFonts w:cstheme="minorHAnsi"/>
        </w:rPr>
        <w:t xml:space="preserve"> </w:t>
      </w:r>
      <w:r w:rsidRPr="0093206A">
        <w:rPr>
          <w:rFonts w:cstheme="minorHAnsi"/>
          <w:color w:val="000000" w:themeColor="text1"/>
        </w:rPr>
        <w:t>Notice 2016-66.</w:t>
      </w:r>
    </w:p>
  </w:endnote>
  <w:endnote w:id="11">
    <w:p w14:paraId="2AD0E298" w14:textId="0DC6FEBC" w:rsidR="00920E3C" w:rsidRPr="00515CF8" w:rsidRDefault="00920E3C">
      <w:pPr>
        <w:pStyle w:val="EndnoteText"/>
        <w:rPr>
          <w:rFonts w:cstheme="minorHAnsi"/>
        </w:rPr>
      </w:pPr>
      <w:r w:rsidRPr="00515CF8">
        <w:rPr>
          <w:rStyle w:val="EndnoteReference"/>
          <w:rFonts w:cstheme="minorHAnsi"/>
        </w:rPr>
        <w:endnoteRef/>
      </w:r>
      <w:r w:rsidRPr="00515CF8">
        <w:rPr>
          <w:rFonts w:cstheme="minorHAnsi"/>
        </w:rPr>
        <w:t xml:space="preserve"> </w:t>
      </w:r>
      <w:r w:rsidRPr="0093206A">
        <w:rPr>
          <w:rFonts w:cstheme="minorHAnsi"/>
          <w:i/>
          <w:iCs/>
          <w:color w:val="000000" w:themeColor="text1"/>
        </w:rPr>
        <w:t>Reserve Mech. Corp. v. Comm'r</w:t>
      </w:r>
      <w:r w:rsidRPr="0093206A">
        <w:rPr>
          <w:rFonts w:cstheme="minorHAnsi"/>
          <w:color w:val="000000" w:themeColor="text1"/>
        </w:rPr>
        <w:t>, T.C. Memo. 2018-86 (U.S.T.C. Jun. 18, 2018) at p. 1, https://www.ustaxcourt.gov/opinions/2018/TCMemo_2018-86.pdf</w:t>
      </w:r>
    </w:p>
  </w:endnote>
  <w:endnote w:id="12">
    <w:p w14:paraId="6A638478" w14:textId="66D3BD3B" w:rsidR="00920E3C" w:rsidRPr="00515CF8" w:rsidRDefault="00920E3C">
      <w:pPr>
        <w:pStyle w:val="EndnoteText"/>
        <w:rPr>
          <w:rFonts w:cstheme="minorHAnsi"/>
          <w:lang w:val="da-DK"/>
        </w:rPr>
      </w:pPr>
      <w:r w:rsidRPr="00515CF8">
        <w:rPr>
          <w:rStyle w:val="EndnoteReference"/>
          <w:rFonts w:cstheme="minorHAnsi"/>
        </w:rPr>
        <w:endnoteRef/>
      </w:r>
      <w:r w:rsidRPr="00515CF8">
        <w:rPr>
          <w:rFonts w:cstheme="minorHAnsi"/>
          <w:lang w:val="da-DK"/>
        </w:rPr>
        <w:t xml:space="preserve"> </w:t>
      </w:r>
      <w:r w:rsidR="00510E27" w:rsidRPr="0093206A">
        <w:rPr>
          <w:rFonts w:cstheme="minorHAnsi"/>
          <w:i/>
          <w:iCs/>
          <w:color w:val="000000" w:themeColor="text1"/>
          <w:lang w:val="da-DK"/>
        </w:rPr>
        <w:t>Id</w:t>
      </w:r>
      <w:r w:rsidR="00510E27" w:rsidRPr="0093206A">
        <w:rPr>
          <w:rFonts w:cstheme="minorHAnsi"/>
          <w:color w:val="000000" w:themeColor="text1"/>
          <w:lang w:val="da-DK"/>
        </w:rPr>
        <w:t>. at p. 4.</w:t>
      </w:r>
    </w:p>
  </w:endnote>
  <w:endnote w:id="13">
    <w:p w14:paraId="3E0989F4" w14:textId="288C14BB" w:rsidR="00510E27" w:rsidRPr="00515CF8" w:rsidRDefault="00510E27">
      <w:pPr>
        <w:pStyle w:val="EndnoteText"/>
        <w:rPr>
          <w:rFonts w:cstheme="minorHAnsi"/>
          <w:lang w:val="da-DK"/>
        </w:rPr>
      </w:pPr>
      <w:r w:rsidRPr="00515CF8">
        <w:rPr>
          <w:rStyle w:val="EndnoteReference"/>
          <w:rFonts w:cstheme="minorHAnsi"/>
        </w:rPr>
        <w:endnoteRef/>
      </w:r>
      <w:r w:rsidRPr="00515CF8">
        <w:rPr>
          <w:rFonts w:cstheme="minorHAnsi"/>
          <w:lang w:val="da-DK"/>
        </w:rPr>
        <w:t xml:space="preserve"> </w:t>
      </w:r>
      <w:r w:rsidRPr="0093206A">
        <w:rPr>
          <w:rFonts w:cstheme="minorHAnsi"/>
          <w:i/>
          <w:iCs/>
          <w:color w:val="000000" w:themeColor="text1"/>
          <w:lang w:val="da-DK"/>
        </w:rPr>
        <w:t>Id</w:t>
      </w:r>
      <w:r w:rsidRPr="0093206A">
        <w:rPr>
          <w:rFonts w:cstheme="minorHAnsi"/>
          <w:color w:val="000000" w:themeColor="text1"/>
          <w:lang w:val="da-DK"/>
        </w:rPr>
        <w:t xml:space="preserve">. at p. 41.  </w:t>
      </w:r>
    </w:p>
  </w:endnote>
  <w:endnote w:id="14">
    <w:p w14:paraId="0616FFA7" w14:textId="2281E2AE" w:rsidR="00510E27" w:rsidRPr="00515CF8" w:rsidRDefault="00510E27">
      <w:pPr>
        <w:pStyle w:val="EndnoteText"/>
        <w:rPr>
          <w:rFonts w:cstheme="minorHAnsi"/>
          <w:lang w:val="da-DK"/>
        </w:rPr>
      </w:pPr>
      <w:r w:rsidRPr="00515CF8">
        <w:rPr>
          <w:rStyle w:val="EndnoteReference"/>
          <w:rFonts w:cstheme="minorHAnsi"/>
        </w:rPr>
        <w:endnoteRef/>
      </w:r>
      <w:r w:rsidRPr="00515CF8">
        <w:rPr>
          <w:rFonts w:cstheme="minorHAnsi"/>
          <w:lang w:val="da-DK"/>
        </w:rPr>
        <w:t xml:space="preserve"> </w:t>
      </w:r>
      <w:r w:rsidRPr="0093206A">
        <w:rPr>
          <w:rFonts w:cstheme="minorHAnsi"/>
          <w:i/>
          <w:iCs/>
          <w:color w:val="000000" w:themeColor="text1"/>
          <w:lang w:val="da-DK"/>
        </w:rPr>
        <w:t>Id</w:t>
      </w:r>
      <w:r w:rsidRPr="0093206A">
        <w:rPr>
          <w:rFonts w:cstheme="minorHAnsi"/>
          <w:color w:val="000000" w:themeColor="text1"/>
          <w:lang w:val="da-DK"/>
        </w:rPr>
        <w:t>. at p. 44.</w:t>
      </w:r>
    </w:p>
  </w:endnote>
  <w:endnote w:id="15">
    <w:p w14:paraId="2A4CBD97" w14:textId="7CFA94E9" w:rsidR="00510E27" w:rsidRPr="00515CF8" w:rsidRDefault="00510E27">
      <w:pPr>
        <w:pStyle w:val="EndnoteText"/>
        <w:rPr>
          <w:rFonts w:cstheme="minorHAnsi"/>
          <w:lang w:val="da-DK"/>
        </w:rPr>
      </w:pPr>
      <w:r w:rsidRPr="00515CF8">
        <w:rPr>
          <w:rStyle w:val="EndnoteReference"/>
          <w:rFonts w:cstheme="minorHAnsi"/>
        </w:rPr>
        <w:endnoteRef/>
      </w:r>
      <w:r w:rsidRPr="00515CF8">
        <w:rPr>
          <w:rFonts w:cstheme="minorHAnsi"/>
          <w:lang w:val="da-DK"/>
        </w:rPr>
        <w:t xml:space="preserve"> </w:t>
      </w:r>
      <w:r w:rsidRPr="0093206A">
        <w:rPr>
          <w:rFonts w:cstheme="minorHAnsi"/>
          <w:i/>
          <w:iCs/>
          <w:color w:val="000000" w:themeColor="text1"/>
          <w:lang w:val="da-DK"/>
        </w:rPr>
        <w:t>Id</w:t>
      </w:r>
      <w:r w:rsidRPr="0093206A">
        <w:rPr>
          <w:rFonts w:cstheme="minorHAnsi"/>
          <w:color w:val="000000" w:themeColor="text1"/>
          <w:lang w:val="da-DK"/>
        </w:rPr>
        <w:t>. at p. 43.</w:t>
      </w:r>
    </w:p>
  </w:endnote>
  <w:endnote w:id="16">
    <w:p w14:paraId="533173C6" w14:textId="1B772426" w:rsidR="00510E27" w:rsidRPr="00515CF8" w:rsidRDefault="00510E27">
      <w:pPr>
        <w:pStyle w:val="EndnoteText"/>
        <w:rPr>
          <w:rFonts w:cstheme="minorHAnsi"/>
        </w:rPr>
      </w:pPr>
      <w:r w:rsidRPr="00515CF8">
        <w:rPr>
          <w:rStyle w:val="EndnoteReference"/>
          <w:rFonts w:cstheme="minorHAnsi"/>
        </w:rPr>
        <w:endnoteRef/>
      </w:r>
      <w:r w:rsidRPr="00515CF8">
        <w:rPr>
          <w:rFonts w:cstheme="minorHAnsi"/>
        </w:rPr>
        <w:t xml:space="preserve"> </w:t>
      </w:r>
      <w:r w:rsidRPr="0093206A">
        <w:rPr>
          <w:rFonts w:cstheme="minorHAnsi"/>
          <w:i/>
          <w:iCs/>
          <w:color w:val="000000" w:themeColor="text1"/>
        </w:rPr>
        <w:t>Id</w:t>
      </w:r>
      <w:r w:rsidRPr="0093206A">
        <w:rPr>
          <w:rFonts w:cstheme="minorHAnsi"/>
          <w:color w:val="000000" w:themeColor="text1"/>
        </w:rPr>
        <w:t>. at p. 58.</w:t>
      </w:r>
    </w:p>
  </w:endnote>
  <w:endnote w:id="17">
    <w:p w14:paraId="3B6C46E6" w14:textId="77777777" w:rsidR="006E16DD" w:rsidRPr="00515CF8" w:rsidRDefault="006E16DD" w:rsidP="006E16DD">
      <w:pPr>
        <w:pStyle w:val="EndnoteText"/>
        <w:rPr>
          <w:rFonts w:cstheme="minorHAnsi"/>
        </w:rPr>
      </w:pPr>
      <w:r w:rsidRPr="00515CF8">
        <w:rPr>
          <w:rStyle w:val="EndnoteReference"/>
          <w:rFonts w:cstheme="minorHAnsi"/>
        </w:rPr>
        <w:endnoteRef/>
      </w:r>
      <w:r w:rsidRPr="00515CF8">
        <w:rPr>
          <w:rFonts w:cstheme="minorHAnsi"/>
        </w:rPr>
        <w:t xml:space="preserve"> </w:t>
      </w:r>
      <w:r w:rsidRPr="0093206A">
        <w:rPr>
          <w:rFonts w:cstheme="minorHAnsi"/>
          <w:i/>
          <w:iCs/>
          <w:color w:val="000000" w:themeColor="text1"/>
        </w:rPr>
        <w:t>Reserve Mech. Corp. v. Comm'r of Internal Revenue</w:t>
      </w:r>
      <w:r w:rsidRPr="0093206A">
        <w:rPr>
          <w:rFonts w:cstheme="minorHAnsi"/>
          <w:color w:val="000000" w:themeColor="text1"/>
        </w:rPr>
        <w:t>, 34 F.4th 881 (10th Cir. 2022), https://www.ca10.uscourts.gov/sites/ca10/files/opinions/010110683986.pdf</w:t>
      </w:r>
    </w:p>
  </w:endnote>
  <w:endnote w:id="18">
    <w:p w14:paraId="79A5A31B" w14:textId="289C7D5B" w:rsidR="00E61615" w:rsidRPr="00515CF8" w:rsidRDefault="00E61615" w:rsidP="00E61615">
      <w:pPr>
        <w:pStyle w:val="EndnoteText"/>
        <w:rPr>
          <w:rFonts w:cstheme="minorHAnsi"/>
        </w:rPr>
      </w:pPr>
      <w:r w:rsidRPr="00515CF8">
        <w:rPr>
          <w:rStyle w:val="EndnoteReference"/>
          <w:rFonts w:cstheme="minorHAnsi"/>
        </w:rPr>
        <w:endnoteRef/>
      </w:r>
      <w:r w:rsidRPr="00515CF8">
        <w:rPr>
          <w:rFonts w:cstheme="minorHAnsi"/>
        </w:rPr>
        <w:t xml:space="preserve"> </w:t>
      </w:r>
      <w:r w:rsidRPr="00515CF8">
        <w:rPr>
          <w:rFonts w:cstheme="minorHAnsi"/>
          <w:i/>
          <w:iCs/>
        </w:rPr>
        <w:t>Reserve Mech. Corp. v. Comm'r of Internal Revenue</w:t>
      </w:r>
      <w:r w:rsidRPr="00515CF8">
        <w:rPr>
          <w:rFonts w:cstheme="minorHAnsi"/>
        </w:rPr>
        <w:t>, 34 F.4th 881 (10th Cir. 2022),</w:t>
      </w:r>
    </w:p>
  </w:endnote>
  <w:endnote w:id="19">
    <w:p w14:paraId="28A242A5" w14:textId="0722695F" w:rsidR="00B83C5D" w:rsidRPr="00515CF8" w:rsidRDefault="00B83C5D">
      <w:pPr>
        <w:pStyle w:val="EndnoteText"/>
        <w:rPr>
          <w:rFonts w:cstheme="minorHAnsi"/>
        </w:rPr>
      </w:pPr>
      <w:r w:rsidRPr="00515CF8">
        <w:rPr>
          <w:rStyle w:val="EndnoteReference"/>
          <w:rFonts w:cstheme="minorHAnsi"/>
        </w:rPr>
        <w:endnoteRef/>
      </w:r>
      <w:r w:rsidRPr="00515CF8">
        <w:rPr>
          <w:rFonts w:cstheme="minorHAnsi"/>
        </w:rPr>
        <w:t xml:space="preserve"> </w:t>
      </w:r>
      <w:r w:rsidRPr="00515CF8">
        <w:rPr>
          <w:rFonts w:cstheme="minorHAnsi"/>
          <w:i/>
          <w:iCs/>
          <w:lang w:val="da-DK"/>
        </w:rPr>
        <w:t xml:space="preserve">Id. </w:t>
      </w:r>
      <w:r w:rsidRPr="00515CF8">
        <w:rPr>
          <w:rFonts w:cstheme="minorHAnsi"/>
          <w:lang w:val="da-DK"/>
        </w:rPr>
        <w:t>At p. 60.</w:t>
      </w:r>
    </w:p>
  </w:endnote>
  <w:endnote w:id="20">
    <w:p w14:paraId="257E7D6A" w14:textId="3CE45F30" w:rsidR="00E61615" w:rsidRPr="00515CF8" w:rsidRDefault="00E61615">
      <w:pPr>
        <w:pStyle w:val="EndnoteText"/>
        <w:rPr>
          <w:rFonts w:cstheme="minorHAnsi"/>
          <w:lang w:val="da-DK"/>
        </w:rPr>
      </w:pPr>
      <w:r w:rsidRPr="00515CF8">
        <w:rPr>
          <w:rStyle w:val="EndnoteReference"/>
          <w:rFonts w:cstheme="minorHAnsi"/>
        </w:rPr>
        <w:endnoteRef/>
      </w:r>
      <w:r w:rsidRPr="00515CF8">
        <w:rPr>
          <w:rFonts w:cstheme="minorHAnsi"/>
          <w:lang w:val="da-DK"/>
        </w:rPr>
        <w:t xml:space="preserve"> </w:t>
      </w:r>
      <w:r w:rsidRPr="00515CF8">
        <w:rPr>
          <w:rFonts w:cstheme="minorHAnsi"/>
          <w:i/>
          <w:iCs/>
          <w:lang w:val="da-DK"/>
        </w:rPr>
        <w:t xml:space="preserve">Id. </w:t>
      </w:r>
      <w:r w:rsidRPr="00515CF8">
        <w:rPr>
          <w:rFonts w:cstheme="minorHAnsi"/>
          <w:lang w:val="da-DK"/>
        </w:rPr>
        <w:t>At p. 57.</w:t>
      </w:r>
    </w:p>
  </w:endnote>
  <w:endnote w:id="21">
    <w:p w14:paraId="425ADC37" w14:textId="0A9C789E" w:rsidR="00900B83" w:rsidRPr="00515CF8" w:rsidRDefault="00900B83">
      <w:pPr>
        <w:pStyle w:val="EndnoteText"/>
        <w:rPr>
          <w:rFonts w:cstheme="minorHAnsi"/>
        </w:rPr>
      </w:pPr>
      <w:r w:rsidRPr="00515CF8">
        <w:rPr>
          <w:rStyle w:val="EndnoteReference"/>
          <w:rFonts w:cstheme="minorHAnsi"/>
        </w:rPr>
        <w:endnoteRef/>
      </w:r>
      <w:r w:rsidRPr="00515CF8">
        <w:rPr>
          <w:rFonts w:cstheme="minorHAnsi"/>
        </w:rPr>
        <w:t xml:space="preserve"> </w:t>
      </w:r>
      <w:r w:rsidRPr="00515CF8">
        <w:rPr>
          <w:rFonts w:cstheme="minorHAnsi"/>
          <w:i/>
          <w:iCs/>
          <w:lang w:val="da-DK"/>
        </w:rPr>
        <w:t xml:space="preserve">Id. </w:t>
      </w:r>
      <w:r w:rsidRPr="00515CF8">
        <w:rPr>
          <w:rFonts w:cstheme="minorHAnsi"/>
          <w:lang w:val="da-DK"/>
        </w:rPr>
        <w:t>At p. 54.</w:t>
      </w:r>
    </w:p>
  </w:endnote>
  <w:endnote w:id="22">
    <w:p w14:paraId="7F61D684" w14:textId="54B847A3" w:rsidR="0070451E" w:rsidRPr="00515CF8" w:rsidRDefault="0070451E">
      <w:pPr>
        <w:pStyle w:val="EndnoteText"/>
        <w:rPr>
          <w:rFonts w:cstheme="minorHAnsi"/>
          <w:lang w:val="da-DK"/>
        </w:rPr>
      </w:pPr>
      <w:r w:rsidRPr="00515CF8">
        <w:rPr>
          <w:rStyle w:val="EndnoteReference"/>
          <w:rFonts w:cstheme="minorHAnsi"/>
        </w:rPr>
        <w:endnoteRef/>
      </w:r>
      <w:r w:rsidRPr="00515CF8">
        <w:rPr>
          <w:rFonts w:cstheme="minorHAnsi"/>
          <w:lang w:val="da-DK"/>
        </w:rPr>
        <w:t xml:space="preserve"> </w:t>
      </w:r>
      <w:r w:rsidRPr="00515CF8">
        <w:rPr>
          <w:rFonts w:cstheme="minorHAnsi"/>
          <w:i/>
          <w:iCs/>
          <w:lang w:val="da-DK"/>
        </w:rPr>
        <w:t xml:space="preserve">Id. </w:t>
      </w:r>
      <w:r w:rsidRPr="00515CF8">
        <w:rPr>
          <w:rFonts w:cstheme="minorHAnsi"/>
          <w:lang w:val="da-DK"/>
        </w:rPr>
        <w:t>At p. 54.</w:t>
      </w:r>
    </w:p>
  </w:endnote>
  <w:endnote w:id="23">
    <w:p w14:paraId="3D77A892" w14:textId="17160F4A" w:rsidR="006313D0" w:rsidRPr="00515CF8" w:rsidRDefault="006313D0">
      <w:pPr>
        <w:pStyle w:val="EndnoteText"/>
        <w:rPr>
          <w:rFonts w:cstheme="minorHAnsi"/>
        </w:rPr>
      </w:pPr>
      <w:r w:rsidRPr="00515CF8">
        <w:rPr>
          <w:rStyle w:val="EndnoteReference"/>
          <w:rFonts w:cstheme="minorHAnsi"/>
        </w:rPr>
        <w:endnoteRef/>
      </w:r>
      <w:r w:rsidRPr="00515CF8">
        <w:rPr>
          <w:rFonts w:cstheme="minorHAnsi"/>
        </w:rPr>
        <w:t xml:space="preserve"> </w:t>
      </w:r>
      <w:r w:rsidRPr="00515CF8">
        <w:rPr>
          <w:rFonts w:cstheme="minorHAnsi"/>
          <w:i/>
          <w:iCs/>
          <w:lang w:val="da-DK"/>
        </w:rPr>
        <w:t xml:space="preserve">Id. </w:t>
      </w:r>
      <w:r w:rsidRPr="00515CF8">
        <w:rPr>
          <w:rFonts w:cstheme="minorHAnsi"/>
          <w:lang w:val="da-DK"/>
        </w:rPr>
        <w:t>At p. 19.</w:t>
      </w:r>
    </w:p>
  </w:endnote>
  <w:endnote w:id="24">
    <w:p w14:paraId="578A66B5" w14:textId="29B55AB7" w:rsidR="000913B3" w:rsidRPr="00515CF8" w:rsidRDefault="000913B3">
      <w:pPr>
        <w:pStyle w:val="EndnoteText"/>
        <w:rPr>
          <w:rFonts w:cstheme="minorHAnsi"/>
          <w:lang w:val="da-DK"/>
        </w:rPr>
      </w:pPr>
      <w:r w:rsidRPr="00515CF8">
        <w:rPr>
          <w:rStyle w:val="EndnoteReference"/>
          <w:rFonts w:cstheme="minorHAnsi"/>
        </w:rPr>
        <w:endnoteRef/>
      </w:r>
      <w:r w:rsidRPr="00515CF8">
        <w:rPr>
          <w:rFonts w:cstheme="minorHAnsi"/>
          <w:lang w:val="da-DK"/>
        </w:rPr>
        <w:t xml:space="preserve"> </w:t>
      </w:r>
      <w:r w:rsidRPr="0093206A">
        <w:rPr>
          <w:rFonts w:cstheme="minorHAnsi"/>
          <w:i/>
          <w:iCs/>
          <w:color w:val="000000" w:themeColor="text1"/>
          <w:lang w:val="da-DK"/>
        </w:rPr>
        <w:t>Id</w:t>
      </w:r>
      <w:r w:rsidRPr="0093206A">
        <w:rPr>
          <w:rFonts w:cstheme="minorHAnsi"/>
          <w:color w:val="000000" w:themeColor="text1"/>
          <w:lang w:val="da-DK"/>
        </w:rPr>
        <w:t>. at p. 64.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panose1 w:val="020B0604020202020204"/>
    <w:charset w:val="00"/>
    <w:family w:val="roman"/>
    <w:notTrueType/>
    <w:pitch w:val="default"/>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1438994"/>
      <w:docPartObj>
        <w:docPartGallery w:val="Page Numbers (Bottom of Page)"/>
        <w:docPartUnique/>
      </w:docPartObj>
    </w:sdtPr>
    <w:sdtContent>
      <w:p w14:paraId="75BF0363" w14:textId="5C046A20" w:rsidR="004E2693" w:rsidRDefault="004E2693" w:rsidP="006764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150A1">
          <w:rPr>
            <w:rStyle w:val="PageNumber"/>
            <w:noProof/>
          </w:rPr>
          <w:t>3</w:t>
        </w:r>
        <w:r>
          <w:rPr>
            <w:rStyle w:val="PageNumber"/>
          </w:rPr>
          <w:fldChar w:fldCharType="end"/>
        </w:r>
      </w:p>
    </w:sdtContent>
  </w:sdt>
  <w:p w14:paraId="7AE9C888" w14:textId="77777777" w:rsidR="004E2693" w:rsidRDefault="004E2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4081379"/>
      <w:docPartObj>
        <w:docPartGallery w:val="Page Numbers (Bottom of Page)"/>
        <w:docPartUnique/>
      </w:docPartObj>
    </w:sdtPr>
    <w:sdtContent>
      <w:p w14:paraId="32E44D7E" w14:textId="70540806" w:rsidR="004E2693" w:rsidRDefault="004E2693" w:rsidP="006764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3C4307" w14:textId="77777777" w:rsidR="004E2693" w:rsidRDefault="004E2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633A" w14:textId="77777777" w:rsidR="002C03B3" w:rsidRDefault="002C03B3" w:rsidP="00D84A2E">
      <w:r>
        <w:separator/>
      </w:r>
    </w:p>
  </w:footnote>
  <w:footnote w:type="continuationSeparator" w:id="0">
    <w:p w14:paraId="6D4A3AE2" w14:textId="77777777" w:rsidR="002C03B3" w:rsidRDefault="002C03B3" w:rsidP="00D84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59"/>
    <w:rsid w:val="00001ED2"/>
    <w:rsid w:val="00012CB8"/>
    <w:rsid w:val="000659EC"/>
    <w:rsid w:val="0006695A"/>
    <w:rsid w:val="00070211"/>
    <w:rsid w:val="000737DE"/>
    <w:rsid w:val="000913B3"/>
    <w:rsid w:val="000940C8"/>
    <w:rsid w:val="000A5659"/>
    <w:rsid w:val="00103BDC"/>
    <w:rsid w:val="00113756"/>
    <w:rsid w:val="00127C8B"/>
    <w:rsid w:val="001A2A32"/>
    <w:rsid w:val="001A5446"/>
    <w:rsid w:val="001E04A1"/>
    <w:rsid w:val="001F022E"/>
    <w:rsid w:val="001F64DB"/>
    <w:rsid w:val="00240373"/>
    <w:rsid w:val="0025331D"/>
    <w:rsid w:val="00281320"/>
    <w:rsid w:val="002C03B3"/>
    <w:rsid w:val="002E7783"/>
    <w:rsid w:val="003025E3"/>
    <w:rsid w:val="003150A1"/>
    <w:rsid w:val="00340601"/>
    <w:rsid w:val="0039146F"/>
    <w:rsid w:val="003960AD"/>
    <w:rsid w:val="003A7687"/>
    <w:rsid w:val="003D5B3F"/>
    <w:rsid w:val="004102CB"/>
    <w:rsid w:val="00413197"/>
    <w:rsid w:val="00437676"/>
    <w:rsid w:val="00467267"/>
    <w:rsid w:val="004A6403"/>
    <w:rsid w:val="004E2693"/>
    <w:rsid w:val="004F0802"/>
    <w:rsid w:val="00510E27"/>
    <w:rsid w:val="0051436D"/>
    <w:rsid w:val="00515CF8"/>
    <w:rsid w:val="0057658E"/>
    <w:rsid w:val="00583243"/>
    <w:rsid w:val="005935D9"/>
    <w:rsid w:val="005E01C8"/>
    <w:rsid w:val="00611428"/>
    <w:rsid w:val="006313D0"/>
    <w:rsid w:val="00672AB9"/>
    <w:rsid w:val="006A2036"/>
    <w:rsid w:val="006A37EF"/>
    <w:rsid w:val="006C27BD"/>
    <w:rsid w:val="006E16DD"/>
    <w:rsid w:val="0070451E"/>
    <w:rsid w:val="00732D6C"/>
    <w:rsid w:val="00740246"/>
    <w:rsid w:val="00783DD6"/>
    <w:rsid w:val="007930DA"/>
    <w:rsid w:val="007B4F22"/>
    <w:rsid w:val="007D70CB"/>
    <w:rsid w:val="008441E8"/>
    <w:rsid w:val="00883B4B"/>
    <w:rsid w:val="008D5584"/>
    <w:rsid w:val="008F1306"/>
    <w:rsid w:val="00900B83"/>
    <w:rsid w:val="00920E3C"/>
    <w:rsid w:val="0093206A"/>
    <w:rsid w:val="00936C45"/>
    <w:rsid w:val="00945DF1"/>
    <w:rsid w:val="009B68BE"/>
    <w:rsid w:val="009E6845"/>
    <w:rsid w:val="00A02B60"/>
    <w:rsid w:val="00A270B8"/>
    <w:rsid w:val="00A63FD9"/>
    <w:rsid w:val="00AA0C98"/>
    <w:rsid w:val="00AA2BE2"/>
    <w:rsid w:val="00AB04A7"/>
    <w:rsid w:val="00B06F97"/>
    <w:rsid w:val="00B47E49"/>
    <w:rsid w:val="00B508C5"/>
    <w:rsid w:val="00B65331"/>
    <w:rsid w:val="00B83C5D"/>
    <w:rsid w:val="00BE288C"/>
    <w:rsid w:val="00C07DF4"/>
    <w:rsid w:val="00C854A1"/>
    <w:rsid w:val="00C86345"/>
    <w:rsid w:val="00C876F2"/>
    <w:rsid w:val="00C95BE8"/>
    <w:rsid w:val="00CD7DB0"/>
    <w:rsid w:val="00CE30FC"/>
    <w:rsid w:val="00D00FA6"/>
    <w:rsid w:val="00D4518C"/>
    <w:rsid w:val="00D600EF"/>
    <w:rsid w:val="00D61C6D"/>
    <w:rsid w:val="00D64E11"/>
    <w:rsid w:val="00D84A2E"/>
    <w:rsid w:val="00D94367"/>
    <w:rsid w:val="00DF17DA"/>
    <w:rsid w:val="00DF4C17"/>
    <w:rsid w:val="00DF5C76"/>
    <w:rsid w:val="00DF69B9"/>
    <w:rsid w:val="00E34840"/>
    <w:rsid w:val="00E61615"/>
    <w:rsid w:val="00E96068"/>
    <w:rsid w:val="00EA5DC5"/>
    <w:rsid w:val="00EB6884"/>
    <w:rsid w:val="00EC4B0F"/>
    <w:rsid w:val="00ED1F6D"/>
    <w:rsid w:val="00ED369B"/>
    <w:rsid w:val="00EE5E03"/>
    <w:rsid w:val="00F16971"/>
    <w:rsid w:val="00F40AC3"/>
    <w:rsid w:val="00F735B0"/>
    <w:rsid w:val="00F870C4"/>
    <w:rsid w:val="00F96219"/>
    <w:rsid w:val="00F97BAC"/>
    <w:rsid w:val="00FB36CF"/>
    <w:rsid w:val="00FB7F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CFDC1C9"/>
  <w15:chartTrackingRefBased/>
  <w15:docId w15:val="{48E7E770-84BB-8D4F-8EAF-D17F2B51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84A2E"/>
    <w:rPr>
      <w:sz w:val="20"/>
      <w:szCs w:val="20"/>
    </w:rPr>
  </w:style>
  <w:style w:type="character" w:customStyle="1" w:styleId="EndnoteTextChar">
    <w:name w:val="Endnote Text Char"/>
    <w:basedOn w:val="DefaultParagraphFont"/>
    <w:link w:val="EndnoteText"/>
    <w:uiPriority w:val="99"/>
    <w:semiHidden/>
    <w:rsid w:val="00D84A2E"/>
    <w:rPr>
      <w:sz w:val="20"/>
      <w:szCs w:val="20"/>
    </w:rPr>
  </w:style>
  <w:style w:type="character" w:styleId="EndnoteReference">
    <w:name w:val="endnote reference"/>
    <w:basedOn w:val="DefaultParagraphFont"/>
    <w:uiPriority w:val="99"/>
    <w:semiHidden/>
    <w:unhideWhenUsed/>
    <w:rsid w:val="00D84A2E"/>
    <w:rPr>
      <w:vertAlign w:val="superscript"/>
    </w:rPr>
  </w:style>
  <w:style w:type="paragraph" w:styleId="FootnoteText">
    <w:name w:val="footnote text"/>
    <w:basedOn w:val="Normal"/>
    <w:link w:val="FootnoteTextChar"/>
    <w:uiPriority w:val="99"/>
    <w:unhideWhenUsed/>
    <w:rsid w:val="003025E3"/>
    <w:rPr>
      <w:sz w:val="20"/>
      <w:szCs w:val="20"/>
    </w:rPr>
  </w:style>
  <w:style w:type="character" w:customStyle="1" w:styleId="FootnoteTextChar">
    <w:name w:val="Footnote Text Char"/>
    <w:basedOn w:val="DefaultParagraphFont"/>
    <w:link w:val="FootnoteText"/>
    <w:uiPriority w:val="99"/>
    <w:rsid w:val="003025E3"/>
    <w:rPr>
      <w:sz w:val="20"/>
      <w:szCs w:val="20"/>
    </w:rPr>
  </w:style>
  <w:style w:type="character" w:styleId="FootnoteReference">
    <w:name w:val="footnote reference"/>
    <w:basedOn w:val="DefaultParagraphFont"/>
    <w:uiPriority w:val="99"/>
    <w:semiHidden/>
    <w:unhideWhenUsed/>
    <w:rsid w:val="003025E3"/>
    <w:rPr>
      <w:vertAlign w:val="superscript"/>
    </w:rPr>
  </w:style>
  <w:style w:type="paragraph" w:styleId="Footer">
    <w:name w:val="footer"/>
    <w:basedOn w:val="Normal"/>
    <w:link w:val="FooterChar"/>
    <w:uiPriority w:val="99"/>
    <w:unhideWhenUsed/>
    <w:rsid w:val="004E2693"/>
    <w:pPr>
      <w:tabs>
        <w:tab w:val="center" w:pos="4680"/>
        <w:tab w:val="right" w:pos="9360"/>
      </w:tabs>
    </w:pPr>
  </w:style>
  <w:style w:type="character" w:customStyle="1" w:styleId="FooterChar">
    <w:name w:val="Footer Char"/>
    <w:basedOn w:val="DefaultParagraphFont"/>
    <w:link w:val="Footer"/>
    <w:uiPriority w:val="99"/>
    <w:rsid w:val="004E2693"/>
  </w:style>
  <w:style w:type="character" w:styleId="PageNumber">
    <w:name w:val="page number"/>
    <w:basedOn w:val="DefaultParagraphFont"/>
    <w:uiPriority w:val="99"/>
    <w:semiHidden/>
    <w:unhideWhenUsed/>
    <w:rsid w:val="004E2693"/>
  </w:style>
  <w:style w:type="paragraph" w:styleId="NormalWeb">
    <w:name w:val="Normal (Web)"/>
    <w:basedOn w:val="Normal"/>
    <w:uiPriority w:val="99"/>
    <w:semiHidden/>
    <w:unhideWhenUsed/>
    <w:rsid w:val="001A5446"/>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3150A1"/>
    <w:pPr>
      <w:tabs>
        <w:tab w:val="center" w:pos="4680"/>
        <w:tab w:val="right" w:pos="9360"/>
      </w:tabs>
    </w:pPr>
  </w:style>
  <w:style w:type="character" w:customStyle="1" w:styleId="HeaderChar">
    <w:name w:val="Header Char"/>
    <w:basedOn w:val="DefaultParagraphFont"/>
    <w:link w:val="Header"/>
    <w:uiPriority w:val="99"/>
    <w:rsid w:val="003150A1"/>
  </w:style>
  <w:style w:type="paragraph" w:styleId="Revision">
    <w:name w:val="Revision"/>
    <w:hidden/>
    <w:uiPriority w:val="99"/>
    <w:semiHidden/>
    <w:rsid w:val="000737DE"/>
  </w:style>
  <w:style w:type="character" w:styleId="CommentReference">
    <w:name w:val="annotation reference"/>
    <w:basedOn w:val="DefaultParagraphFont"/>
    <w:uiPriority w:val="99"/>
    <w:semiHidden/>
    <w:unhideWhenUsed/>
    <w:rsid w:val="000737DE"/>
    <w:rPr>
      <w:sz w:val="16"/>
      <w:szCs w:val="16"/>
    </w:rPr>
  </w:style>
  <w:style w:type="paragraph" w:styleId="CommentText">
    <w:name w:val="annotation text"/>
    <w:basedOn w:val="Normal"/>
    <w:link w:val="CommentTextChar"/>
    <w:uiPriority w:val="99"/>
    <w:semiHidden/>
    <w:unhideWhenUsed/>
    <w:rsid w:val="000737DE"/>
    <w:rPr>
      <w:sz w:val="20"/>
      <w:szCs w:val="20"/>
    </w:rPr>
  </w:style>
  <w:style w:type="character" w:customStyle="1" w:styleId="CommentTextChar">
    <w:name w:val="Comment Text Char"/>
    <w:basedOn w:val="DefaultParagraphFont"/>
    <w:link w:val="CommentText"/>
    <w:uiPriority w:val="99"/>
    <w:semiHidden/>
    <w:rsid w:val="000737DE"/>
    <w:rPr>
      <w:sz w:val="20"/>
      <w:szCs w:val="20"/>
    </w:rPr>
  </w:style>
  <w:style w:type="paragraph" w:styleId="CommentSubject">
    <w:name w:val="annotation subject"/>
    <w:basedOn w:val="CommentText"/>
    <w:next w:val="CommentText"/>
    <w:link w:val="CommentSubjectChar"/>
    <w:uiPriority w:val="99"/>
    <w:semiHidden/>
    <w:unhideWhenUsed/>
    <w:rsid w:val="000737DE"/>
    <w:rPr>
      <w:b/>
      <w:bCs/>
    </w:rPr>
  </w:style>
  <w:style w:type="character" w:customStyle="1" w:styleId="CommentSubjectChar">
    <w:name w:val="Comment Subject Char"/>
    <w:basedOn w:val="CommentTextChar"/>
    <w:link w:val="CommentSubject"/>
    <w:uiPriority w:val="99"/>
    <w:semiHidden/>
    <w:rsid w:val="000737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855018">
      <w:bodyDiv w:val="1"/>
      <w:marLeft w:val="0"/>
      <w:marRight w:val="0"/>
      <w:marTop w:val="0"/>
      <w:marBottom w:val="0"/>
      <w:divBdr>
        <w:top w:val="none" w:sz="0" w:space="0" w:color="auto"/>
        <w:left w:val="none" w:sz="0" w:space="0" w:color="auto"/>
        <w:bottom w:val="none" w:sz="0" w:space="0" w:color="auto"/>
        <w:right w:val="none" w:sz="0" w:space="0" w:color="auto"/>
      </w:divBdr>
      <w:divsChild>
        <w:div w:id="1042363369">
          <w:marLeft w:val="0"/>
          <w:marRight w:val="0"/>
          <w:marTop w:val="0"/>
          <w:marBottom w:val="0"/>
          <w:divBdr>
            <w:top w:val="none" w:sz="0" w:space="0" w:color="auto"/>
            <w:left w:val="none" w:sz="0" w:space="0" w:color="auto"/>
            <w:bottom w:val="none" w:sz="0" w:space="0" w:color="auto"/>
            <w:right w:val="none" w:sz="0" w:space="0" w:color="auto"/>
          </w:divBdr>
          <w:divsChild>
            <w:div w:id="468011812">
              <w:marLeft w:val="0"/>
              <w:marRight w:val="0"/>
              <w:marTop w:val="0"/>
              <w:marBottom w:val="0"/>
              <w:divBdr>
                <w:top w:val="none" w:sz="0" w:space="0" w:color="auto"/>
                <w:left w:val="none" w:sz="0" w:space="0" w:color="auto"/>
                <w:bottom w:val="none" w:sz="0" w:space="0" w:color="auto"/>
                <w:right w:val="none" w:sz="0" w:space="0" w:color="auto"/>
              </w:divBdr>
              <w:divsChild>
                <w:div w:id="1134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3B1E0-7C42-B147-9F0B-E3095B19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Cantley</dc:creator>
  <cp:keywords/>
  <dc:description/>
  <cp:lastModifiedBy>Melissa Cantley</cp:lastModifiedBy>
  <cp:revision>2</cp:revision>
  <dcterms:created xsi:type="dcterms:W3CDTF">2022-10-26T17:53:00Z</dcterms:created>
  <dcterms:modified xsi:type="dcterms:W3CDTF">2022-10-26T17:53:00Z</dcterms:modified>
</cp:coreProperties>
</file>