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AF71" w14:textId="61D5D643" w:rsidR="005B517A" w:rsidRPr="002D07B1" w:rsidRDefault="005B517A" w:rsidP="002D07B1">
      <w:pPr>
        <w:pStyle w:val="Title"/>
      </w:pPr>
      <w:r w:rsidRPr="00032367">
        <w:t>The New Potential Regulatory</w:t>
      </w:r>
      <w:r w:rsidR="000B33A6">
        <w:br/>
      </w:r>
      <w:r w:rsidRPr="00032367">
        <w:t>Death of Aggressive Captive Insurance</w:t>
      </w:r>
    </w:p>
    <w:p w14:paraId="5AA65EF6" w14:textId="77777777" w:rsidR="005B517A" w:rsidRPr="00032367" w:rsidRDefault="005B517A" w:rsidP="0071269A">
      <w:pPr>
        <w:pStyle w:val="BylineT19"/>
        <w:spacing w:after="0"/>
        <w:rPr>
          <w:b/>
        </w:rPr>
      </w:pPr>
      <w:r w:rsidRPr="002D07B1">
        <w:t>Beckett Cantley</w:t>
      </w:r>
      <w:r>
        <w:rPr>
          <w:rStyle w:val="FootnoteReference"/>
          <w:rFonts w:cs="Times New Roman"/>
          <w:b/>
          <w:color w:val="000000" w:themeColor="text1"/>
        </w:rPr>
        <w:footnoteReference w:customMarkFollows="1" w:id="1"/>
        <w:t>*</w:t>
      </w:r>
    </w:p>
    <w:p w14:paraId="3B95E633" w14:textId="77777777" w:rsidR="005B517A" w:rsidRDefault="005B517A" w:rsidP="0071269A">
      <w:pPr>
        <w:pStyle w:val="BylineT19"/>
        <w:spacing w:before="0"/>
        <w:rPr>
          <w:b/>
        </w:rPr>
      </w:pPr>
      <w:r w:rsidRPr="002D07B1">
        <w:t>Geoffrey Dietrich</w:t>
      </w:r>
      <w:r>
        <w:rPr>
          <w:rStyle w:val="FootnoteReference"/>
          <w:rFonts w:cs="Times New Roman"/>
          <w:b/>
          <w:color w:val="000000" w:themeColor="text1"/>
        </w:rPr>
        <w:footnoteReference w:customMarkFollows="1" w:id="2"/>
        <w:t>**</w:t>
      </w:r>
    </w:p>
    <w:p w14:paraId="663339BF" w14:textId="3E84A014" w:rsidR="005B517A" w:rsidRPr="00032367" w:rsidRDefault="005B517A" w:rsidP="00CC2D68">
      <w:pPr>
        <w:pStyle w:val="AbstractTextT19"/>
      </w:pPr>
      <w:r w:rsidRPr="00032367">
        <w:t xml:space="preserve">The </w:t>
      </w:r>
      <w:r>
        <w:t xml:space="preserve">aggressive </w:t>
      </w:r>
      <w:r w:rsidRPr="00032367">
        <w:t xml:space="preserve">micro-captive insurance company industry is at </w:t>
      </w:r>
      <w:r>
        <w:t xml:space="preserve">severe </w:t>
      </w:r>
      <w:r w:rsidRPr="00032367">
        <w:t>risk of decimat</w:t>
      </w:r>
      <w:r>
        <w:t>ion</w:t>
      </w:r>
      <w:r w:rsidRPr="00032367">
        <w:t xml:space="preserve">. The </w:t>
      </w:r>
      <w:r>
        <w:t>Internal Revenue Service (</w:t>
      </w:r>
      <w:r w:rsidRPr="00032367">
        <w:t>IRS</w:t>
      </w:r>
      <w:r>
        <w:t>)</w:t>
      </w:r>
      <w:r w:rsidRPr="00032367">
        <w:t xml:space="preserve"> </w:t>
      </w:r>
      <w:r>
        <w:t>initially</w:t>
      </w:r>
      <w:r w:rsidRPr="00032367">
        <w:t xml:space="preserve"> issued Notice 2016-66 to </w:t>
      </w:r>
      <w:r>
        <w:t>designate certain</w:t>
      </w:r>
      <w:r w:rsidRPr="00032367">
        <w:t xml:space="preserve"> micro-captives as transactions of interest, which allowed the IRS to garner information about a micro-captive to measure if it</w:t>
      </w:r>
      <w:r>
        <w:t xml:space="preserve"> is</w:t>
      </w:r>
      <w:r w:rsidRPr="00032367">
        <w:t xml:space="preserve"> an abusive tax shelter.</w:t>
      </w:r>
      <w:r>
        <w:t xml:space="preserve"> However, </w:t>
      </w:r>
      <w:proofErr w:type="gramStart"/>
      <w:r w:rsidRPr="00032367">
        <w:t>Notice</w:t>
      </w:r>
      <w:proofErr w:type="gramEnd"/>
      <w:r w:rsidRPr="00032367">
        <w:t xml:space="preserve"> 2016-66 </w:t>
      </w:r>
      <w:r>
        <w:t>was overly broad in scope, forcing</w:t>
      </w:r>
      <w:r w:rsidRPr="00032367">
        <w:t xml:space="preserve"> participants of non-abusive micro-captives to waste time and money on sending information to the IRS that the IRS never deserved to obtain. Therefore, </w:t>
      </w:r>
      <w:r>
        <w:t xml:space="preserve">certain </w:t>
      </w:r>
      <w:r w:rsidRPr="00032367">
        <w:t xml:space="preserve">taxpayers </w:t>
      </w:r>
      <w:r>
        <w:t>brought challenges to Notice 2016-66</w:t>
      </w:r>
      <w:r w:rsidR="00375E05">
        <w:t>,</w:t>
      </w:r>
      <w:r>
        <w:t xml:space="preserve"> and it was overturned in </w:t>
      </w:r>
      <w:r w:rsidRPr="00357836">
        <w:rPr>
          <w:i w:val="0"/>
          <w:iCs w:val="0"/>
        </w:rPr>
        <w:t>CIC Services, LLC v. Internal Revenue Service</w:t>
      </w:r>
      <w:r w:rsidR="007E132E">
        <w:t xml:space="preserve"> following a U.S. Supreme Court opinion allowing the challenge to proceed</w:t>
      </w:r>
      <w:r>
        <w:t>. In the end, the death knell for the Notice was the IRS’</w:t>
      </w:r>
      <w:r w:rsidR="00375E05">
        <w:t>s</w:t>
      </w:r>
      <w:r>
        <w:t xml:space="preserve"> failure to properly follow the Administrative Procedure Act (APA) when issuing the Notice</w:t>
      </w:r>
      <w:r w:rsidR="003D41EC">
        <w:t>,</w:t>
      </w:r>
      <w:r>
        <w:t xml:space="preserve"> as well as the arbitrary and capricious manner in which the Notice was issued.</w:t>
      </w:r>
    </w:p>
    <w:p w14:paraId="563B43F4" w14:textId="17BD89A6" w:rsidR="005B517A" w:rsidRDefault="005B517A" w:rsidP="00CC2D68">
      <w:pPr>
        <w:pStyle w:val="AbstractTextT19"/>
      </w:pPr>
      <w:r w:rsidRPr="00032367">
        <w:t xml:space="preserve">On April 10, 2023, the IRS issued proposed regulations </w:t>
      </w:r>
      <w:r>
        <w:t>that</w:t>
      </w:r>
      <w:r w:rsidRPr="00032367">
        <w:t xml:space="preserve"> revive </w:t>
      </w:r>
      <w:r>
        <w:t xml:space="preserve">parts of </w:t>
      </w:r>
      <w:r w:rsidRPr="00032367">
        <w:t xml:space="preserve">Notice 2016-66 </w:t>
      </w:r>
      <w:r>
        <w:t xml:space="preserve">with certain changes, including designating certain micro-captives as </w:t>
      </w:r>
      <w:r w:rsidRPr="00032367">
        <w:t>listed transactions</w:t>
      </w:r>
      <w:r>
        <w:t>, while maintaining the transaction of interest designation for certain other micro-captives</w:t>
      </w:r>
      <w:r w:rsidRPr="00032367">
        <w:t xml:space="preserve">. The </w:t>
      </w:r>
      <w:r>
        <w:t>new</w:t>
      </w:r>
      <w:r w:rsidRPr="00032367">
        <w:t xml:space="preserve"> listed transaction designation place</w:t>
      </w:r>
      <w:r>
        <w:t>s</w:t>
      </w:r>
      <w:r w:rsidRPr="00032367">
        <w:t xml:space="preserve"> a massive target on </w:t>
      </w:r>
      <w:r>
        <w:t xml:space="preserve">certain </w:t>
      </w:r>
      <w:r w:rsidRPr="00032367">
        <w:t xml:space="preserve">micro-captives as abusive tax shelters. </w:t>
      </w:r>
      <w:r>
        <w:t>Given the heightened penalties for unreported or improperly reported listed transactions, the proposed regulations pose a much bigger threat to the aggressive micro-captive world than the now-defunct Notice.</w:t>
      </w:r>
    </w:p>
    <w:p w14:paraId="46769EB5" w14:textId="7374E34D" w:rsidR="005B517A" w:rsidRPr="00CC2D68" w:rsidRDefault="005B517A" w:rsidP="00CC2D68">
      <w:pPr>
        <w:pStyle w:val="AbstractTextT19"/>
      </w:pPr>
      <w:r>
        <w:t xml:space="preserve">This </w:t>
      </w:r>
      <w:r w:rsidR="003D41EC">
        <w:t>A</w:t>
      </w:r>
      <w:r>
        <w:t xml:space="preserve">rticle (1) reviews Notice 2016-66 and the </w:t>
      </w:r>
      <w:r w:rsidRPr="00357836">
        <w:rPr>
          <w:i w:val="0"/>
          <w:iCs w:val="0"/>
        </w:rPr>
        <w:t>C</w:t>
      </w:r>
      <w:r w:rsidR="00375E05" w:rsidRPr="00357836">
        <w:rPr>
          <w:i w:val="0"/>
          <w:iCs w:val="0"/>
        </w:rPr>
        <w:t>I</w:t>
      </w:r>
      <w:r w:rsidRPr="00357836">
        <w:rPr>
          <w:i w:val="0"/>
          <w:iCs w:val="0"/>
        </w:rPr>
        <w:t>C Services</w:t>
      </w:r>
      <w:r>
        <w:t xml:space="preserve"> case that ruled the Notice violated the APA and was issued in an arbitrary and capricious manner; (2) outlines the IRS Proposed Regulations that replace the Notice (Proposed Regulations); (3) describes the differences between the Notice and the Proposed Regulations, </w:t>
      </w:r>
      <w:r>
        <w:lastRenderedPageBreak/>
        <w:t>including the heightened penalty regime and increased scrutiny that results from the Proposed Regulations; and (4) analyzes the likely effect the Proposed Regulations will have on the aggressive micro-captive industry.</w:t>
      </w:r>
    </w:p>
    <w:p w14:paraId="2C6AAF8E" w14:textId="28BBE5BD" w:rsidR="000B33A6" w:rsidRDefault="000B33A6">
      <w:pPr>
        <w:pStyle w:val="TOC1"/>
        <w:rPr>
          <w:rFonts w:asciiTheme="minorHAnsi" w:eastAsiaTheme="minorEastAsia" w:hAnsiTheme="minorHAnsi"/>
          <w:smallCaps w:val="0"/>
          <w:noProof/>
          <w:kern w:val="2"/>
          <w:sz w:val="24"/>
          <w:szCs w:val="24"/>
          <w14:ligatures w14:val="standardContextual"/>
        </w:rPr>
      </w:pPr>
      <w:r>
        <w:fldChar w:fldCharType="begin"/>
      </w:r>
      <w:r>
        <w:instrText xml:space="preserve"> TOC \o "1-4" \h \z \u </w:instrText>
      </w:r>
      <w:r>
        <w:fldChar w:fldCharType="separate"/>
      </w:r>
      <w:hyperlink w:anchor="_Toc158622991" w:history="1">
        <w:r w:rsidRPr="006025ED">
          <w:rPr>
            <w:rStyle w:val="Hyperlink"/>
            <w:noProof/>
          </w:rPr>
          <w:t>I.</w:t>
        </w:r>
        <w:r>
          <w:rPr>
            <w:rFonts w:asciiTheme="minorHAnsi" w:eastAsiaTheme="minorEastAsia" w:hAnsiTheme="minorHAnsi"/>
            <w:smallCaps w:val="0"/>
            <w:noProof/>
            <w:kern w:val="2"/>
            <w:sz w:val="24"/>
            <w:szCs w:val="24"/>
            <w14:ligatures w14:val="standardContextual"/>
          </w:rPr>
          <w:tab/>
        </w:r>
        <w:r w:rsidRPr="006025ED">
          <w:rPr>
            <w:rStyle w:val="Hyperlink"/>
            <w:noProof/>
          </w:rPr>
          <w:t>Introduction</w:t>
        </w:r>
        <w:r>
          <w:rPr>
            <w:noProof/>
            <w:webHidden/>
          </w:rPr>
          <w:tab/>
        </w:r>
        <w:r>
          <w:rPr>
            <w:noProof/>
            <w:webHidden/>
          </w:rPr>
          <w:fldChar w:fldCharType="begin"/>
        </w:r>
        <w:r>
          <w:rPr>
            <w:noProof/>
            <w:webHidden/>
          </w:rPr>
          <w:instrText xml:space="preserve"> PAGEREF _Toc158622991 \h </w:instrText>
        </w:r>
        <w:r>
          <w:rPr>
            <w:noProof/>
            <w:webHidden/>
          </w:rPr>
        </w:r>
        <w:r>
          <w:rPr>
            <w:noProof/>
            <w:webHidden/>
          </w:rPr>
          <w:fldChar w:fldCharType="separate"/>
        </w:r>
        <w:r>
          <w:rPr>
            <w:noProof/>
            <w:webHidden/>
          </w:rPr>
          <w:t>345</w:t>
        </w:r>
        <w:r>
          <w:rPr>
            <w:noProof/>
            <w:webHidden/>
          </w:rPr>
          <w:fldChar w:fldCharType="end"/>
        </w:r>
      </w:hyperlink>
    </w:p>
    <w:p w14:paraId="13DD98DB" w14:textId="6714D37E" w:rsidR="000B33A6" w:rsidRDefault="00000000">
      <w:pPr>
        <w:pStyle w:val="TOC1"/>
        <w:rPr>
          <w:rFonts w:asciiTheme="minorHAnsi" w:eastAsiaTheme="minorEastAsia" w:hAnsiTheme="minorHAnsi"/>
          <w:smallCaps w:val="0"/>
          <w:noProof/>
          <w:kern w:val="2"/>
          <w:sz w:val="24"/>
          <w:szCs w:val="24"/>
          <w14:ligatures w14:val="standardContextual"/>
        </w:rPr>
      </w:pPr>
      <w:hyperlink w:anchor="_Toc158622992" w:history="1">
        <w:r w:rsidR="000B33A6" w:rsidRPr="006025ED">
          <w:rPr>
            <w:rStyle w:val="Hyperlink"/>
            <w:noProof/>
          </w:rPr>
          <w:t>II.</w:t>
        </w:r>
        <w:r w:rsidR="000B33A6">
          <w:rPr>
            <w:rFonts w:asciiTheme="minorHAnsi" w:eastAsiaTheme="minorEastAsia" w:hAnsiTheme="minorHAnsi"/>
            <w:smallCaps w:val="0"/>
            <w:noProof/>
            <w:kern w:val="2"/>
            <w:sz w:val="24"/>
            <w:szCs w:val="24"/>
            <w14:ligatures w14:val="standardContextual"/>
          </w:rPr>
          <w:tab/>
        </w:r>
        <w:r w:rsidR="000B33A6" w:rsidRPr="006025ED">
          <w:rPr>
            <w:rStyle w:val="Hyperlink"/>
            <w:noProof/>
          </w:rPr>
          <w:t>The Aggressive Captive Insurance Transaction</w:t>
        </w:r>
        <w:r w:rsidR="000B33A6">
          <w:rPr>
            <w:noProof/>
            <w:webHidden/>
          </w:rPr>
          <w:tab/>
        </w:r>
        <w:r w:rsidR="000B33A6">
          <w:rPr>
            <w:noProof/>
            <w:webHidden/>
          </w:rPr>
          <w:fldChar w:fldCharType="begin"/>
        </w:r>
        <w:r w:rsidR="000B33A6">
          <w:rPr>
            <w:noProof/>
            <w:webHidden/>
          </w:rPr>
          <w:instrText xml:space="preserve"> PAGEREF _Toc158622992 \h </w:instrText>
        </w:r>
        <w:r w:rsidR="000B33A6">
          <w:rPr>
            <w:noProof/>
            <w:webHidden/>
          </w:rPr>
        </w:r>
        <w:r w:rsidR="000B33A6">
          <w:rPr>
            <w:noProof/>
            <w:webHidden/>
          </w:rPr>
          <w:fldChar w:fldCharType="separate"/>
        </w:r>
        <w:r w:rsidR="000B33A6">
          <w:rPr>
            <w:noProof/>
            <w:webHidden/>
          </w:rPr>
          <w:t>346</w:t>
        </w:r>
        <w:r w:rsidR="000B33A6">
          <w:rPr>
            <w:noProof/>
            <w:webHidden/>
          </w:rPr>
          <w:fldChar w:fldCharType="end"/>
        </w:r>
      </w:hyperlink>
    </w:p>
    <w:p w14:paraId="373DBADD" w14:textId="2BA227BC"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2993" w:history="1">
        <w:r w:rsidR="000B33A6" w:rsidRPr="006025ED">
          <w:rPr>
            <w:rStyle w:val="Hyperlink"/>
            <w:rFonts w:ascii="Times New Roman Italic" w:hAnsi="Times New Roman Italic"/>
            <w:noProof/>
          </w:rPr>
          <w:t>A.</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Reportable Transactions Under the Internal Revenue Code</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_Toc158622993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346</w:t>
        </w:r>
        <w:r w:rsidR="000B33A6" w:rsidRPr="000B33A6">
          <w:rPr>
            <w:i w:val="0"/>
            <w:iCs/>
            <w:noProof/>
            <w:webHidden/>
          </w:rPr>
          <w:fldChar w:fldCharType="end"/>
        </w:r>
      </w:hyperlink>
    </w:p>
    <w:p w14:paraId="563677B1" w14:textId="5826DA2F"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2994" w:history="1">
        <w:r w:rsidR="000B33A6" w:rsidRPr="006025ED">
          <w:rPr>
            <w:rStyle w:val="Hyperlink"/>
            <w:rFonts w:ascii="Times New Roman Italic" w:hAnsi="Times New Roman Italic"/>
            <w:noProof/>
          </w:rPr>
          <w:t>B.</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Micro-Captive Insurance Companies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_Toc158622994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348</w:t>
        </w:r>
        <w:r w:rsidR="000B33A6" w:rsidRPr="000B33A6">
          <w:rPr>
            <w:i w:val="0"/>
            <w:iCs/>
            <w:noProof/>
            <w:webHidden/>
          </w:rPr>
          <w:fldChar w:fldCharType="end"/>
        </w:r>
      </w:hyperlink>
    </w:p>
    <w:p w14:paraId="029A9F1D" w14:textId="1CF1B8C8" w:rsidR="000B33A6" w:rsidRDefault="00000000">
      <w:pPr>
        <w:pStyle w:val="TOC3"/>
        <w:rPr>
          <w:rFonts w:asciiTheme="minorHAnsi" w:eastAsiaTheme="minorEastAsia" w:hAnsiTheme="minorHAnsi"/>
          <w:i w:val="0"/>
          <w:noProof/>
          <w:kern w:val="2"/>
          <w:sz w:val="24"/>
          <w:szCs w:val="24"/>
          <w14:ligatures w14:val="standardContextual"/>
        </w:rPr>
      </w:pPr>
      <w:hyperlink w:anchor="_Toc158622995" w:history="1">
        <w:r w:rsidR="000B33A6" w:rsidRPr="006025ED">
          <w:rPr>
            <w:rStyle w:val="Hyperlink"/>
            <w:rFonts w:ascii="Times New Roman Italic" w:hAnsi="Times New Roman Italic"/>
            <w:noProof/>
          </w:rPr>
          <w:t>1.</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Background of Captive Insurance Companies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_Toc158622995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348</w:t>
        </w:r>
        <w:r w:rsidR="000B33A6" w:rsidRPr="000B33A6">
          <w:rPr>
            <w:i w:val="0"/>
            <w:iCs/>
            <w:noProof/>
            <w:webHidden/>
          </w:rPr>
          <w:fldChar w:fldCharType="end"/>
        </w:r>
      </w:hyperlink>
    </w:p>
    <w:p w14:paraId="00D6DEE6" w14:textId="13F69D64" w:rsidR="000B33A6" w:rsidRDefault="00000000">
      <w:pPr>
        <w:pStyle w:val="TOC3"/>
        <w:rPr>
          <w:rFonts w:asciiTheme="minorHAnsi" w:eastAsiaTheme="minorEastAsia" w:hAnsiTheme="minorHAnsi"/>
          <w:i w:val="0"/>
          <w:noProof/>
          <w:kern w:val="2"/>
          <w:sz w:val="24"/>
          <w:szCs w:val="24"/>
          <w14:ligatures w14:val="standardContextual"/>
        </w:rPr>
      </w:pPr>
      <w:hyperlink w:anchor="_Toc158622996" w:history="1">
        <w:r w:rsidR="000B33A6" w:rsidRPr="006025ED">
          <w:rPr>
            <w:rStyle w:val="Hyperlink"/>
            <w:rFonts w:ascii="Times New Roman Italic" w:hAnsi="Times New Roman Italic"/>
            <w:noProof/>
          </w:rPr>
          <w:t>2.</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The IRS’s Issue with Micro-Captive Transactions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_Toc158622996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349</w:t>
        </w:r>
        <w:r w:rsidR="000B33A6" w:rsidRPr="000B33A6">
          <w:rPr>
            <w:i w:val="0"/>
            <w:iCs/>
            <w:noProof/>
            <w:webHidden/>
          </w:rPr>
          <w:fldChar w:fldCharType="end"/>
        </w:r>
      </w:hyperlink>
    </w:p>
    <w:p w14:paraId="4E31DC59" w14:textId="5C6B59B7" w:rsidR="000B33A6" w:rsidRDefault="00000000">
      <w:pPr>
        <w:pStyle w:val="TOC1"/>
        <w:rPr>
          <w:rFonts w:asciiTheme="minorHAnsi" w:eastAsiaTheme="minorEastAsia" w:hAnsiTheme="minorHAnsi"/>
          <w:smallCaps w:val="0"/>
          <w:noProof/>
          <w:kern w:val="2"/>
          <w:sz w:val="24"/>
          <w:szCs w:val="24"/>
          <w14:ligatures w14:val="standardContextual"/>
        </w:rPr>
      </w:pPr>
      <w:hyperlink w:anchor="_Toc158622997" w:history="1">
        <w:r w:rsidR="000B33A6" w:rsidRPr="006025ED">
          <w:rPr>
            <w:rStyle w:val="Hyperlink"/>
            <w:noProof/>
          </w:rPr>
          <w:t>III.</w:t>
        </w:r>
        <w:r w:rsidR="000B33A6">
          <w:rPr>
            <w:rFonts w:asciiTheme="minorHAnsi" w:eastAsiaTheme="minorEastAsia" w:hAnsiTheme="minorHAnsi"/>
            <w:smallCaps w:val="0"/>
            <w:noProof/>
            <w:kern w:val="2"/>
            <w:sz w:val="24"/>
            <w:szCs w:val="24"/>
            <w14:ligatures w14:val="standardContextual"/>
          </w:rPr>
          <w:tab/>
        </w:r>
        <w:r w:rsidR="000B33A6" w:rsidRPr="006025ED">
          <w:rPr>
            <w:rStyle w:val="Hyperlink"/>
            <w:noProof/>
          </w:rPr>
          <w:t xml:space="preserve">Notice 2016-66 &amp; the </w:t>
        </w:r>
        <w:r w:rsidR="000B33A6" w:rsidRPr="006025ED">
          <w:rPr>
            <w:rStyle w:val="Hyperlink"/>
            <w:i/>
            <w:iCs/>
            <w:noProof/>
          </w:rPr>
          <w:t>CIC Services</w:t>
        </w:r>
        <w:r w:rsidR="000B33A6" w:rsidRPr="006025ED">
          <w:rPr>
            <w:rStyle w:val="Hyperlink"/>
            <w:noProof/>
          </w:rPr>
          <w:t xml:space="preserve"> Case</w:t>
        </w:r>
        <w:r w:rsidR="000B33A6">
          <w:rPr>
            <w:noProof/>
            <w:webHidden/>
          </w:rPr>
          <w:tab/>
        </w:r>
        <w:r w:rsidR="000B33A6">
          <w:rPr>
            <w:noProof/>
            <w:webHidden/>
          </w:rPr>
          <w:fldChar w:fldCharType="begin"/>
        </w:r>
        <w:r w:rsidR="000B33A6">
          <w:rPr>
            <w:noProof/>
            <w:webHidden/>
          </w:rPr>
          <w:instrText xml:space="preserve"> PAGEREF _Toc158622997 \h </w:instrText>
        </w:r>
        <w:r w:rsidR="000B33A6">
          <w:rPr>
            <w:noProof/>
            <w:webHidden/>
          </w:rPr>
        </w:r>
        <w:r w:rsidR="000B33A6">
          <w:rPr>
            <w:noProof/>
            <w:webHidden/>
          </w:rPr>
          <w:fldChar w:fldCharType="separate"/>
        </w:r>
        <w:r w:rsidR="000B33A6">
          <w:rPr>
            <w:noProof/>
            <w:webHidden/>
          </w:rPr>
          <w:t>350</w:t>
        </w:r>
        <w:r w:rsidR="000B33A6">
          <w:rPr>
            <w:noProof/>
            <w:webHidden/>
          </w:rPr>
          <w:fldChar w:fldCharType="end"/>
        </w:r>
      </w:hyperlink>
    </w:p>
    <w:p w14:paraId="69DF150B" w14:textId="5E305004"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2998" w:history="1">
        <w:r w:rsidR="000B33A6" w:rsidRPr="006025ED">
          <w:rPr>
            <w:rStyle w:val="Hyperlink"/>
            <w:rFonts w:ascii="Times New Roman Italic" w:hAnsi="Times New Roman Italic"/>
            <w:noProof/>
          </w:rPr>
          <w:t>A.</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Notice 2016-66</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_Toc158622998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350</w:t>
        </w:r>
        <w:r w:rsidR="000B33A6" w:rsidRPr="000B33A6">
          <w:rPr>
            <w:i w:val="0"/>
            <w:iCs/>
            <w:noProof/>
            <w:webHidden/>
          </w:rPr>
          <w:fldChar w:fldCharType="end"/>
        </w:r>
      </w:hyperlink>
    </w:p>
    <w:p w14:paraId="2E374879" w14:textId="0EAFB18B" w:rsidR="000B33A6" w:rsidRDefault="00000000">
      <w:pPr>
        <w:pStyle w:val="TOC3"/>
        <w:rPr>
          <w:rFonts w:asciiTheme="minorHAnsi" w:eastAsiaTheme="minorEastAsia" w:hAnsiTheme="minorHAnsi"/>
          <w:i w:val="0"/>
          <w:noProof/>
          <w:kern w:val="2"/>
          <w:sz w:val="24"/>
          <w:szCs w:val="24"/>
          <w14:ligatures w14:val="standardContextual"/>
        </w:rPr>
      </w:pPr>
      <w:hyperlink w:anchor="_Toc158622999" w:history="1">
        <w:r w:rsidR="000B33A6" w:rsidRPr="006025ED">
          <w:rPr>
            <w:rStyle w:val="Hyperlink"/>
            <w:rFonts w:ascii="Times New Roman Italic" w:hAnsi="Times New Roman Italic"/>
            <w:noProof/>
          </w:rPr>
          <w:t>1.</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Reportable Captive Transactions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_Toc158622999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350</w:t>
        </w:r>
        <w:r w:rsidR="000B33A6" w:rsidRPr="000B33A6">
          <w:rPr>
            <w:i w:val="0"/>
            <w:iCs/>
            <w:noProof/>
            <w:webHidden/>
          </w:rPr>
          <w:fldChar w:fldCharType="end"/>
        </w:r>
      </w:hyperlink>
    </w:p>
    <w:p w14:paraId="19E41F01" w14:textId="28DC62AE" w:rsidR="000B33A6" w:rsidRDefault="00000000">
      <w:pPr>
        <w:pStyle w:val="TOC3"/>
        <w:rPr>
          <w:rFonts w:asciiTheme="minorHAnsi" w:eastAsiaTheme="minorEastAsia" w:hAnsiTheme="minorHAnsi"/>
          <w:i w:val="0"/>
          <w:noProof/>
          <w:kern w:val="2"/>
          <w:sz w:val="24"/>
          <w:szCs w:val="24"/>
          <w14:ligatures w14:val="standardContextual"/>
        </w:rPr>
      </w:pPr>
      <w:hyperlink w:anchor="_Toc158623000" w:history="1">
        <w:r w:rsidR="000B33A6" w:rsidRPr="006025ED">
          <w:rPr>
            <w:rStyle w:val="Hyperlink"/>
            <w:rFonts w:ascii="Times New Roman Italic" w:hAnsi="Times New Roman Italic"/>
            <w:noProof/>
          </w:rPr>
          <w:t>2.</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What Must be Disclosed?</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_Toc158623000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351</w:t>
        </w:r>
        <w:r w:rsidR="000B33A6" w:rsidRPr="000B33A6">
          <w:rPr>
            <w:i w:val="0"/>
            <w:iCs/>
            <w:noProof/>
            <w:webHidden/>
          </w:rPr>
          <w:fldChar w:fldCharType="end"/>
        </w:r>
      </w:hyperlink>
    </w:p>
    <w:p w14:paraId="5F86230E" w14:textId="0CA53881" w:rsidR="000B33A6" w:rsidRDefault="00000000">
      <w:pPr>
        <w:pStyle w:val="TOC3"/>
        <w:rPr>
          <w:rFonts w:asciiTheme="minorHAnsi" w:eastAsiaTheme="minorEastAsia" w:hAnsiTheme="minorHAnsi"/>
          <w:i w:val="0"/>
          <w:noProof/>
          <w:kern w:val="2"/>
          <w:sz w:val="24"/>
          <w:szCs w:val="24"/>
          <w14:ligatures w14:val="standardContextual"/>
        </w:rPr>
      </w:pPr>
      <w:hyperlink w:anchor="_Toc158623001" w:history="1">
        <w:r w:rsidR="000B33A6" w:rsidRPr="006025ED">
          <w:rPr>
            <w:rStyle w:val="Hyperlink"/>
            <w:rFonts w:ascii="Times New Roman Italic" w:hAnsi="Times New Roman Italic"/>
            <w:noProof/>
          </w:rPr>
          <w:t>3.</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Penalties for Failure to Disclose</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_Toc158623001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352</w:t>
        </w:r>
        <w:r w:rsidR="000B33A6" w:rsidRPr="000B33A6">
          <w:rPr>
            <w:i w:val="0"/>
            <w:iCs/>
            <w:noProof/>
            <w:webHidden/>
          </w:rPr>
          <w:fldChar w:fldCharType="end"/>
        </w:r>
      </w:hyperlink>
    </w:p>
    <w:p w14:paraId="37FBCB0B" w14:textId="24E86655"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3002" w:history="1">
        <w:r w:rsidR="000B33A6" w:rsidRPr="006025ED">
          <w:rPr>
            <w:rStyle w:val="Hyperlink"/>
            <w:rFonts w:ascii="Times New Roman Italic" w:hAnsi="Times New Roman Italic"/>
            <w:noProof/>
          </w:rPr>
          <w:t>B.</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Taxpayer’s Main Issue with Notice 2016-66</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_Toc158623002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353</w:t>
        </w:r>
        <w:r w:rsidR="000B33A6" w:rsidRPr="000B33A6">
          <w:rPr>
            <w:i w:val="0"/>
            <w:iCs/>
            <w:noProof/>
            <w:webHidden/>
          </w:rPr>
          <w:fldChar w:fldCharType="end"/>
        </w:r>
      </w:hyperlink>
    </w:p>
    <w:p w14:paraId="51A9419B" w14:textId="55D3EEFC"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3003" w:history="1">
        <w:r w:rsidR="000B33A6" w:rsidRPr="006025ED">
          <w:rPr>
            <w:rStyle w:val="Hyperlink"/>
            <w:rFonts w:ascii="Times New Roman Italic" w:hAnsi="Times New Roman Italic"/>
            <w:noProof/>
          </w:rPr>
          <w:t>C.</w:t>
        </w:r>
        <w:r w:rsidR="000B33A6">
          <w:rPr>
            <w:rFonts w:asciiTheme="minorHAnsi" w:eastAsiaTheme="minorEastAsia" w:hAnsiTheme="minorHAnsi"/>
            <w:noProof/>
            <w:kern w:val="2"/>
            <w:sz w:val="24"/>
            <w:szCs w:val="24"/>
            <w14:ligatures w14:val="standardContextual"/>
          </w:rPr>
          <w:tab/>
        </w:r>
        <w:r w:rsidR="000B33A6" w:rsidRPr="006025ED">
          <w:rPr>
            <w:rStyle w:val="Hyperlink"/>
            <w:iCs/>
            <w:noProof/>
          </w:rPr>
          <w:t>CIC Services</w:t>
        </w:r>
        <w:r w:rsidR="000B33A6" w:rsidRPr="006025ED">
          <w:rPr>
            <w:rStyle w:val="Hyperlink"/>
            <w:noProof/>
          </w:rPr>
          <w:t xml:space="preserve"> Case</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_Toc158623003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353</w:t>
        </w:r>
        <w:r w:rsidR="000B33A6" w:rsidRPr="000B33A6">
          <w:rPr>
            <w:i w:val="0"/>
            <w:iCs/>
            <w:noProof/>
            <w:webHidden/>
          </w:rPr>
          <w:fldChar w:fldCharType="end"/>
        </w:r>
      </w:hyperlink>
    </w:p>
    <w:p w14:paraId="6546C4A1" w14:textId="2C73E842" w:rsidR="000B33A6" w:rsidRDefault="00000000">
      <w:pPr>
        <w:pStyle w:val="TOC3"/>
        <w:rPr>
          <w:rFonts w:asciiTheme="minorHAnsi" w:eastAsiaTheme="minorEastAsia" w:hAnsiTheme="minorHAnsi"/>
          <w:i w:val="0"/>
          <w:noProof/>
          <w:kern w:val="2"/>
          <w:sz w:val="24"/>
          <w:szCs w:val="24"/>
          <w14:ligatures w14:val="standardContextual"/>
        </w:rPr>
      </w:pPr>
      <w:hyperlink w:anchor="_Toc158623004" w:history="1">
        <w:r w:rsidR="000B33A6" w:rsidRPr="006025ED">
          <w:rPr>
            <w:rStyle w:val="Hyperlink"/>
            <w:rFonts w:ascii="Times New Roman Italic" w:hAnsi="Times New Roman Italic"/>
            <w:noProof/>
          </w:rPr>
          <w:t>1.</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Background</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_Toc158623004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353</w:t>
        </w:r>
        <w:r w:rsidR="000B33A6" w:rsidRPr="000B33A6">
          <w:rPr>
            <w:i w:val="0"/>
            <w:iCs/>
            <w:noProof/>
            <w:webHidden/>
          </w:rPr>
          <w:fldChar w:fldCharType="end"/>
        </w:r>
      </w:hyperlink>
    </w:p>
    <w:p w14:paraId="66F22EDA" w14:textId="2E78BA3F" w:rsidR="000B33A6" w:rsidRDefault="00000000">
      <w:pPr>
        <w:pStyle w:val="TOC3"/>
        <w:rPr>
          <w:rFonts w:asciiTheme="minorHAnsi" w:eastAsiaTheme="minorEastAsia" w:hAnsiTheme="minorHAnsi"/>
          <w:i w:val="0"/>
          <w:noProof/>
          <w:kern w:val="2"/>
          <w:sz w:val="24"/>
          <w:szCs w:val="24"/>
          <w14:ligatures w14:val="standardContextual"/>
        </w:rPr>
      </w:pPr>
      <w:hyperlink w:anchor="_Toc158623005" w:history="1">
        <w:r w:rsidR="000B33A6" w:rsidRPr="006025ED">
          <w:rPr>
            <w:rStyle w:val="Hyperlink"/>
            <w:rFonts w:ascii="Times New Roman Italic" w:hAnsi="Times New Roman Italic"/>
            <w:noProof/>
          </w:rPr>
          <w:t>2.</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The Court’s Analysis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_Toc158623005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354</w:t>
        </w:r>
        <w:r w:rsidR="000B33A6" w:rsidRPr="000B33A6">
          <w:rPr>
            <w:i w:val="0"/>
            <w:iCs/>
            <w:noProof/>
            <w:webHidden/>
          </w:rPr>
          <w:fldChar w:fldCharType="end"/>
        </w:r>
      </w:hyperlink>
    </w:p>
    <w:p w14:paraId="73FC3D48" w14:textId="0F798B27" w:rsidR="000B33A6" w:rsidRDefault="00000000">
      <w:pPr>
        <w:pStyle w:val="TOC4"/>
        <w:rPr>
          <w:rFonts w:asciiTheme="minorHAnsi" w:eastAsiaTheme="minorEastAsia" w:hAnsiTheme="minorHAnsi"/>
          <w:i w:val="0"/>
          <w:noProof/>
          <w:kern w:val="2"/>
          <w:sz w:val="24"/>
          <w:szCs w:val="24"/>
          <w14:ligatures w14:val="standardContextual"/>
        </w:rPr>
      </w:pPr>
      <w:hyperlink w:anchor="_Toc158623006" w:history="1">
        <w:r w:rsidR="000B33A6" w:rsidRPr="006025ED">
          <w:rPr>
            <w:rStyle w:val="Hyperlink"/>
            <w:rFonts w:ascii="Times New Roman Italic" w:hAnsi="Times New Roman Italic"/>
            <w:noProof/>
          </w:rPr>
          <w:t>a.</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Notice-and-Comment Procedure under the APA</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_Toc158623006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354</w:t>
        </w:r>
        <w:r w:rsidR="000B33A6" w:rsidRPr="000B33A6">
          <w:rPr>
            <w:i w:val="0"/>
            <w:iCs/>
            <w:noProof/>
            <w:webHidden/>
          </w:rPr>
          <w:fldChar w:fldCharType="end"/>
        </w:r>
      </w:hyperlink>
    </w:p>
    <w:p w14:paraId="2EC7D610" w14:textId="2B92738F" w:rsidR="000B33A6" w:rsidRDefault="00000000">
      <w:pPr>
        <w:pStyle w:val="TOC4"/>
        <w:rPr>
          <w:rFonts w:asciiTheme="minorHAnsi" w:eastAsiaTheme="minorEastAsia" w:hAnsiTheme="minorHAnsi"/>
          <w:i w:val="0"/>
          <w:noProof/>
          <w:kern w:val="2"/>
          <w:sz w:val="24"/>
          <w:szCs w:val="24"/>
          <w14:ligatures w14:val="standardContextual"/>
        </w:rPr>
      </w:pPr>
      <w:hyperlink w:anchor="_Toc158623007" w:history="1">
        <w:r w:rsidR="000B33A6" w:rsidRPr="006025ED">
          <w:rPr>
            <w:rStyle w:val="Hyperlink"/>
            <w:rFonts w:ascii="Times New Roman Italic" w:hAnsi="Times New Roman Italic"/>
            <w:noProof/>
          </w:rPr>
          <w:t>b.</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Arbitrary and Capricious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_Toc158623007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355</w:t>
        </w:r>
        <w:r w:rsidR="000B33A6" w:rsidRPr="000B33A6">
          <w:rPr>
            <w:i w:val="0"/>
            <w:iCs/>
            <w:noProof/>
            <w:webHidden/>
          </w:rPr>
          <w:fldChar w:fldCharType="end"/>
        </w:r>
      </w:hyperlink>
    </w:p>
    <w:p w14:paraId="436BF4A9" w14:textId="65ED410B" w:rsidR="000B33A6" w:rsidRDefault="00000000">
      <w:pPr>
        <w:pStyle w:val="TOC4"/>
        <w:rPr>
          <w:rFonts w:asciiTheme="minorHAnsi" w:eastAsiaTheme="minorEastAsia" w:hAnsiTheme="minorHAnsi"/>
          <w:i w:val="0"/>
          <w:noProof/>
          <w:kern w:val="2"/>
          <w:sz w:val="24"/>
          <w:szCs w:val="24"/>
          <w14:ligatures w14:val="standardContextual"/>
        </w:rPr>
      </w:pPr>
      <w:hyperlink w:anchor="_Toc158623008" w:history="1">
        <w:r w:rsidR="000B33A6" w:rsidRPr="006025ED">
          <w:rPr>
            <w:rStyle w:val="Hyperlink"/>
            <w:rFonts w:ascii="Times New Roman Italic" w:hAnsi="Times New Roman Italic"/>
            <w:noProof/>
          </w:rPr>
          <w:t>c.</w:t>
        </w:r>
        <w:r w:rsidR="000B33A6">
          <w:rPr>
            <w:rFonts w:asciiTheme="minorHAnsi" w:eastAsiaTheme="minorEastAsia" w:hAnsiTheme="minorHAnsi"/>
            <w:i w:val="0"/>
            <w:noProof/>
            <w:kern w:val="2"/>
            <w:sz w:val="24"/>
            <w:szCs w:val="24"/>
            <w14:ligatures w14:val="standardContextual"/>
          </w:rPr>
          <w:tab/>
        </w:r>
        <w:r w:rsidR="000B33A6" w:rsidRPr="006025ED">
          <w:rPr>
            <w:rStyle w:val="Hyperlink"/>
            <w:noProof/>
          </w:rPr>
          <w:t>The Relief</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_Toc158623008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357</w:t>
        </w:r>
        <w:r w:rsidR="000B33A6" w:rsidRPr="000B33A6">
          <w:rPr>
            <w:i w:val="0"/>
            <w:iCs/>
            <w:noProof/>
            <w:webHidden/>
          </w:rPr>
          <w:fldChar w:fldCharType="end"/>
        </w:r>
      </w:hyperlink>
    </w:p>
    <w:p w14:paraId="1F95D0DC" w14:textId="1C5935C3" w:rsidR="000B33A6" w:rsidRDefault="00000000">
      <w:pPr>
        <w:pStyle w:val="TOC1"/>
        <w:rPr>
          <w:rFonts w:asciiTheme="minorHAnsi" w:eastAsiaTheme="minorEastAsia" w:hAnsiTheme="minorHAnsi"/>
          <w:smallCaps w:val="0"/>
          <w:noProof/>
          <w:kern w:val="2"/>
          <w:sz w:val="24"/>
          <w:szCs w:val="24"/>
          <w14:ligatures w14:val="standardContextual"/>
        </w:rPr>
      </w:pPr>
      <w:hyperlink w:anchor="_Toc158623009" w:history="1">
        <w:r w:rsidR="000B33A6" w:rsidRPr="006025ED">
          <w:rPr>
            <w:rStyle w:val="Hyperlink"/>
            <w:noProof/>
          </w:rPr>
          <w:t>IV.</w:t>
        </w:r>
        <w:r w:rsidR="000B33A6">
          <w:rPr>
            <w:rFonts w:asciiTheme="minorHAnsi" w:eastAsiaTheme="minorEastAsia" w:hAnsiTheme="minorHAnsi"/>
            <w:smallCaps w:val="0"/>
            <w:noProof/>
            <w:kern w:val="2"/>
            <w:sz w:val="24"/>
            <w:szCs w:val="24"/>
            <w14:ligatures w14:val="standardContextual"/>
          </w:rPr>
          <w:tab/>
        </w:r>
        <w:r w:rsidR="000B33A6" w:rsidRPr="006025ED">
          <w:rPr>
            <w:rStyle w:val="Hyperlink"/>
            <w:noProof/>
          </w:rPr>
          <w:t>The New Proposed Regulations</w:t>
        </w:r>
        <w:r w:rsidR="000B33A6">
          <w:rPr>
            <w:noProof/>
            <w:webHidden/>
          </w:rPr>
          <w:tab/>
        </w:r>
        <w:r w:rsidR="000B33A6">
          <w:rPr>
            <w:noProof/>
            <w:webHidden/>
          </w:rPr>
          <w:fldChar w:fldCharType="begin"/>
        </w:r>
        <w:r w:rsidR="000B33A6">
          <w:rPr>
            <w:noProof/>
            <w:webHidden/>
          </w:rPr>
          <w:instrText xml:space="preserve"> PAGEREF _Toc158623009 \h </w:instrText>
        </w:r>
        <w:r w:rsidR="000B33A6">
          <w:rPr>
            <w:noProof/>
            <w:webHidden/>
          </w:rPr>
        </w:r>
        <w:r w:rsidR="000B33A6">
          <w:rPr>
            <w:noProof/>
            <w:webHidden/>
          </w:rPr>
          <w:fldChar w:fldCharType="separate"/>
        </w:r>
        <w:r w:rsidR="000B33A6">
          <w:rPr>
            <w:noProof/>
            <w:webHidden/>
          </w:rPr>
          <w:t>358</w:t>
        </w:r>
        <w:r w:rsidR="000B33A6">
          <w:rPr>
            <w:noProof/>
            <w:webHidden/>
          </w:rPr>
          <w:fldChar w:fldCharType="end"/>
        </w:r>
      </w:hyperlink>
    </w:p>
    <w:p w14:paraId="517A5D1D" w14:textId="393BD3A7"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3010" w:history="1">
        <w:r w:rsidR="000B33A6" w:rsidRPr="006025ED">
          <w:rPr>
            <w:rStyle w:val="Hyperlink"/>
            <w:rFonts w:ascii="Times New Roman Italic" w:hAnsi="Times New Roman Italic"/>
            <w:noProof/>
          </w:rPr>
          <w:t>A.</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Certain Micro-Captive Transactions Are Now Listed Transactions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_Toc158623010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358</w:t>
        </w:r>
        <w:r w:rsidR="000B33A6" w:rsidRPr="000B33A6">
          <w:rPr>
            <w:i w:val="0"/>
            <w:iCs/>
            <w:noProof/>
            <w:webHidden/>
          </w:rPr>
          <w:fldChar w:fldCharType="end"/>
        </w:r>
      </w:hyperlink>
    </w:p>
    <w:p w14:paraId="5E530F87" w14:textId="7838B8C0"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3011" w:history="1">
        <w:r w:rsidR="000B33A6" w:rsidRPr="006025ED">
          <w:rPr>
            <w:rStyle w:val="Hyperlink"/>
            <w:rFonts w:ascii="Times New Roman Italic" w:hAnsi="Times New Roman Italic"/>
            <w:noProof/>
          </w:rPr>
          <w:t>B.</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Micro-Captive Transactions as Transactions of Interest</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_Toc158623011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360</w:t>
        </w:r>
        <w:r w:rsidR="000B33A6" w:rsidRPr="000B33A6">
          <w:rPr>
            <w:i w:val="0"/>
            <w:iCs/>
            <w:noProof/>
            <w:webHidden/>
          </w:rPr>
          <w:fldChar w:fldCharType="end"/>
        </w:r>
      </w:hyperlink>
    </w:p>
    <w:p w14:paraId="3387A0C2" w14:textId="4A5C6079"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3012" w:history="1">
        <w:r w:rsidR="000B33A6" w:rsidRPr="006025ED">
          <w:rPr>
            <w:rStyle w:val="Hyperlink"/>
            <w:rFonts w:ascii="Times New Roman Italic" w:hAnsi="Times New Roman Italic"/>
            <w:noProof/>
          </w:rPr>
          <w:t>C.</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Disclosure Requirements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_Toc158623012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361</w:t>
        </w:r>
        <w:r w:rsidR="000B33A6" w:rsidRPr="000B33A6">
          <w:rPr>
            <w:i w:val="0"/>
            <w:iCs/>
            <w:noProof/>
            <w:webHidden/>
          </w:rPr>
          <w:fldChar w:fldCharType="end"/>
        </w:r>
      </w:hyperlink>
    </w:p>
    <w:p w14:paraId="752F0FD6" w14:textId="5A032E14"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3013" w:history="1">
        <w:r w:rsidR="000B33A6" w:rsidRPr="006025ED">
          <w:rPr>
            <w:rStyle w:val="Hyperlink"/>
            <w:rFonts w:ascii="Times New Roman Italic" w:hAnsi="Times New Roman Italic"/>
            <w:noProof/>
          </w:rPr>
          <w:t>D.</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Penalties for Non-Compliance</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_Toc158623013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362</w:t>
        </w:r>
        <w:r w:rsidR="000B33A6" w:rsidRPr="000B33A6">
          <w:rPr>
            <w:i w:val="0"/>
            <w:iCs/>
            <w:noProof/>
            <w:webHidden/>
          </w:rPr>
          <w:fldChar w:fldCharType="end"/>
        </w:r>
      </w:hyperlink>
    </w:p>
    <w:p w14:paraId="297F6B05" w14:textId="72D2F52D" w:rsidR="000B33A6" w:rsidRDefault="00000000">
      <w:pPr>
        <w:pStyle w:val="TOC1"/>
        <w:rPr>
          <w:rFonts w:asciiTheme="minorHAnsi" w:eastAsiaTheme="minorEastAsia" w:hAnsiTheme="minorHAnsi"/>
          <w:smallCaps w:val="0"/>
          <w:noProof/>
          <w:kern w:val="2"/>
          <w:sz w:val="24"/>
          <w:szCs w:val="24"/>
          <w14:ligatures w14:val="standardContextual"/>
        </w:rPr>
      </w:pPr>
      <w:hyperlink w:anchor="_Toc158623014" w:history="1">
        <w:r w:rsidR="000B33A6" w:rsidRPr="006025ED">
          <w:rPr>
            <w:rStyle w:val="Hyperlink"/>
            <w:noProof/>
          </w:rPr>
          <w:t>V.</w:t>
        </w:r>
        <w:r w:rsidR="000B33A6">
          <w:rPr>
            <w:rFonts w:asciiTheme="minorHAnsi" w:eastAsiaTheme="minorEastAsia" w:hAnsiTheme="minorHAnsi"/>
            <w:smallCaps w:val="0"/>
            <w:noProof/>
            <w:kern w:val="2"/>
            <w:sz w:val="24"/>
            <w:szCs w:val="24"/>
            <w14:ligatures w14:val="standardContextual"/>
          </w:rPr>
          <w:tab/>
        </w:r>
        <w:r w:rsidR="000B33A6" w:rsidRPr="006025ED">
          <w:rPr>
            <w:rStyle w:val="Hyperlink"/>
            <w:noProof/>
          </w:rPr>
          <w:t>Likely Effect of Proposed Regulations on Aggressive Transactions</w:t>
        </w:r>
        <w:r w:rsidR="000B33A6">
          <w:rPr>
            <w:noProof/>
            <w:webHidden/>
          </w:rPr>
          <w:tab/>
        </w:r>
        <w:r w:rsidR="000B33A6">
          <w:rPr>
            <w:noProof/>
            <w:webHidden/>
          </w:rPr>
          <w:fldChar w:fldCharType="begin"/>
        </w:r>
        <w:r w:rsidR="000B33A6">
          <w:rPr>
            <w:noProof/>
            <w:webHidden/>
          </w:rPr>
          <w:instrText xml:space="preserve"> PAGEREF _Toc158623014 \h </w:instrText>
        </w:r>
        <w:r w:rsidR="000B33A6">
          <w:rPr>
            <w:noProof/>
            <w:webHidden/>
          </w:rPr>
        </w:r>
        <w:r w:rsidR="000B33A6">
          <w:rPr>
            <w:noProof/>
            <w:webHidden/>
          </w:rPr>
          <w:fldChar w:fldCharType="separate"/>
        </w:r>
        <w:r w:rsidR="000B33A6">
          <w:rPr>
            <w:noProof/>
            <w:webHidden/>
          </w:rPr>
          <w:t>365</w:t>
        </w:r>
        <w:r w:rsidR="000B33A6">
          <w:rPr>
            <w:noProof/>
            <w:webHidden/>
          </w:rPr>
          <w:fldChar w:fldCharType="end"/>
        </w:r>
      </w:hyperlink>
    </w:p>
    <w:p w14:paraId="18397669" w14:textId="5D8D27F4"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3015" w:history="1">
        <w:r w:rsidR="000B33A6" w:rsidRPr="006025ED">
          <w:rPr>
            <w:rStyle w:val="Hyperlink"/>
            <w:rFonts w:ascii="Times New Roman Italic" w:hAnsi="Times New Roman Italic"/>
            <w:noProof/>
          </w:rPr>
          <w:t>A.</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Deterrence from Micro-Captive Transactions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_Toc158623015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365</w:t>
        </w:r>
        <w:r w:rsidR="000B33A6" w:rsidRPr="000B33A6">
          <w:rPr>
            <w:i w:val="0"/>
            <w:iCs/>
            <w:noProof/>
            <w:webHidden/>
          </w:rPr>
          <w:fldChar w:fldCharType="end"/>
        </w:r>
      </w:hyperlink>
    </w:p>
    <w:p w14:paraId="6F805A95" w14:textId="397C0AEA" w:rsidR="000B33A6" w:rsidRPr="000B33A6" w:rsidRDefault="00000000" w:rsidP="000B33A6">
      <w:pPr>
        <w:pStyle w:val="TOC2"/>
        <w:rPr>
          <w:rFonts w:asciiTheme="minorHAnsi" w:eastAsiaTheme="minorEastAsia" w:hAnsiTheme="minorHAnsi"/>
          <w:i w:val="0"/>
          <w:iCs/>
          <w:noProof/>
          <w:kern w:val="2"/>
          <w:sz w:val="24"/>
          <w:szCs w:val="24"/>
          <w14:ligatures w14:val="standardContextual"/>
        </w:rPr>
      </w:pPr>
      <w:hyperlink w:anchor="_Toc158623016" w:history="1">
        <w:r w:rsidR="000B33A6" w:rsidRPr="006025ED">
          <w:rPr>
            <w:rStyle w:val="Hyperlink"/>
            <w:rFonts w:ascii="Times New Roman Italic" w:hAnsi="Times New Roman Italic"/>
            <w:noProof/>
          </w:rPr>
          <w:t>B.</w:t>
        </w:r>
        <w:r w:rsidR="000B33A6">
          <w:rPr>
            <w:rFonts w:asciiTheme="minorHAnsi" w:eastAsiaTheme="minorEastAsia" w:hAnsiTheme="minorHAnsi"/>
            <w:noProof/>
            <w:kern w:val="2"/>
            <w:sz w:val="24"/>
            <w:szCs w:val="24"/>
            <w14:ligatures w14:val="standardContextual"/>
          </w:rPr>
          <w:tab/>
        </w:r>
        <w:r w:rsidR="000B33A6" w:rsidRPr="006025ED">
          <w:rPr>
            <w:rStyle w:val="Hyperlink"/>
            <w:noProof/>
          </w:rPr>
          <w:t>A Potential CIC Services Challenge to the New Proposed Regulations</w:t>
        </w:r>
        <w:r w:rsidR="000B33A6" w:rsidRPr="000B33A6">
          <w:rPr>
            <w:i w:val="0"/>
            <w:iCs/>
            <w:noProof/>
            <w:webHidden/>
          </w:rPr>
          <w:tab/>
        </w:r>
        <w:r w:rsidR="000B33A6" w:rsidRPr="000B33A6">
          <w:rPr>
            <w:i w:val="0"/>
            <w:iCs/>
            <w:noProof/>
            <w:webHidden/>
          </w:rPr>
          <w:fldChar w:fldCharType="begin"/>
        </w:r>
        <w:r w:rsidR="000B33A6" w:rsidRPr="000B33A6">
          <w:rPr>
            <w:i w:val="0"/>
            <w:iCs/>
            <w:noProof/>
            <w:webHidden/>
          </w:rPr>
          <w:instrText xml:space="preserve"> PAGEREF _Toc158623016 \h </w:instrText>
        </w:r>
        <w:r w:rsidR="000B33A6" w:rsidRPr="000B33A6">
          <w:rPr>
            <w:i w:val="0"/>
            <w:iCs/>
            <w:noProof/>
            <w:webHidden/>
          </w:rPr>
        </w:r>
        <w:r w:rsidR="000B33A6" w:rsidRPr="000B33A6">
          <w:rPr>
            <w:i w:val="0"/>
            <w:iCs/>
            <w:noProof/>
            <w:webHidden/>
          </w:rPr>
          <w:fldChar w:fldCharType="separate"/>
        </w:r>
        <w:r w:rsidR="000B33A6" w:rsidRPr="000B33A6">
          <w:rPr>
            <w:i w:val="0"/>
            <w:iCs/>
            <w:noProof/>
            <w:webHidden/>
          </w:rPr>
          <w:t>366</w:t>
        </w:r>
        <w:r w:rsidR="000B33A6" w:rsidRPr="000B33A6">
          <w:rPr>
            <w:i w:val="0"/>
            <w:iCs/>
            <w:noProof/>
            <w:webHidden/>
          </w:rPr>
          <w:fldChar w:fldCharType="end"/>
        </w:r>
      </w:hyperlink>
    </w:p>
    <w:p w14:paraId="2A1FE810" w14:textId="60679A8D" w:rsidR="000B33A6" w:rsidRDefault="00000000">
      <w:pPr>
        <w:pStyle w:val="TOC1"/>
        <w:rPr>
          <w:rFonts w:asciiTheme="minorHAnsi" w:eastAsiaTheme="minorEastAsia" w:hAnsiTheme="minorHAnsi"/>
          <w:smallCaps w:val="0"/>
          <w:noProof/>
          <w:kern w:val="2"/>
          <w:sz w:val="24"/>
          <w:szCs w:val="24"/>
          <w14:ligatures w14:val="standardContextual"/>
        </w:rPr>
      </w:pPr>
      <w:hyperlink w:anchor="_Toc158623017" w:history="1">
        <w:r w:rsidR="000B33A6" w:rsidRPr="006025ED">
          <w:rPr>
            <w:rStyle w:val="Hyperlink"/>
            <w:noProof/>
          </w:rPr>
          <w:t>VI.</w:t>
        </w:r>
        <w:r w:rsidR="000B33A6">
          <w:rPr>
            <w:rFonts w:asciiTheme="minorHAnsi" w:eastAsiaTheme="minorEastAsia" w:hAnsiTheme="minorHAnsi"/>
            <w:smallCaps w:val="0"/>
            <w:noProof/>
            <w:kern w:val="2"/>
            <w:sz w:val="24"/>
            <w:szCs w:val="24"/>
            <w14:ligatures w14:val="standardContextual"/>
          </w:rPr>
          <w:tab/>
        </w:r>
        <w:r w:rsidR="000B33A6" w:rsidRPr="006025ED">
          <w:rPr>
            <w:rStyle w:val="Hyperlink"/>
            <w:noProof/>
          </w:rPr>
          <w:t>Conclusion</w:t>
        </w:r>
        <w:r w:rsidR="000B33A6">
          <w:rPr>
            <w:noProof/>
            <w:webHidden/>
          </w:rPr>
          <w:tab/>
        </w:r>
        <w:r w:rsidR="000B33A6">
          <w:rPr>
            <w:noProof/>
            <w:webHidden/>
          </w:rPr>
          <w:fldChar w:fldCharType="begin"/>
        </w:r>
        <w:r w:rsidR="000B33A6">
          <w:rPr>
            <w:noProof/>
            <w:webHidden/>
          </w:rPr>
          <w:instrText xml:space="preserve"> PAGEREF _Toc158623017 \h </w:instrText>
        </w:r>
        <w:r w:rsidR="000B33A6">
          <w:rPr>
            <w:noProof/>
            <w:webHidden/>
          </w:rPr>
        </w:r>
        <w:r w:rsidR="000B33A6">
          <w:rPr>
            <w:noProof/>
            <w:webHidden/>
          </w:rPr>
          <w:fldChar w:fldCharType="separate"/>
        </w:r>
        <w:r w:rsidR="000B33A6">
          <w:rPr>
            <w:noProof/>
            <w:webHidden/>
          </w:rPr>
          <w:t>368</w:t>
        </w:r>
        <w:r w:rsidR="000B33A6">
          <w:rPr>
            <w:noProof/>
            <w:webHidden/>
          </w:rPr>
          <w:fldChar w:fldCharType="end"/>
        </w:r>
      </w:hyperlink>
    </w:p>
    <w:p w14:paraId="6FFB0E8B" w14:textId="251670E0" w:rsidR="000B33A6" w:rsidRPr="000B33A6" w:rsidRDefault="000B33A6" w:rsidP="000B33A6">
      <w:pPr>
        <w:ind w:firstLine="0"/>
      </w:pPr>
      <w:r>
        <w:fldChar w:fldCharType="end"/>
      </w:r>
    </w:p>
    <w:p w14:paraId="3780FBB3" w14:textId="28F23C2B" w:rsidR="005B517A" w:rsidRPr="00082ECB" w:rsidRDefault="005B517A" w:rsidP="00CC2D68">
      <w:pPr>
        <w:pStyle w:val="Heading1"/>
        <w:rPr>
          <w:smallCaps w:val="0"/>
        </w:rPr>
      </w:pPr>
      <w:bookmarkStart w:id="0" w:name="_Toc158622991"/>
      <w:r w:rsidRPr="00CC2D68">
        <w:lastRenderedPageBreak/>
        <w:t>Introduction</w:t>
      </w:r>
      <w:bookmarkEnd w:id="0"/>
    </w:p>
    <w:p w14:paraId="6A44C948" w14:textId="6EED4C15" w:rsidR="005B517A" w:rsidRDefault="005B517A" w:rsidP="00CF290D">
      <w:pPr>
        <w:rPr>
          <w:rFonts w:cs="Times New Roman"/>
          <w:color w:val="000000" w:themeColor="text1"/>
        </w:rPr>
      </w:pPr>
      <w:r>
        <w:rPr>
          <w:rFonts w:cs="Times New Roman"/>
          <w:color w:val="000000" w:themeColor="text1"/>
        </w:rPr>
        <w:t>Certain micro-c</w:t>
      </w:r>
      <w:r w:rsidRPr="00032367">
        <w:rPr>
          <w:rFonts w:cs="Times New Roman"/>
          <w:color w:val="000000" w:themeColor="text1"/>
        </w:rPr>
        <w:t>aptive insurance companies have been on the</w:t>
      </w:r>
      <w:r w:rsidR="00375E05">
        <w:rPr>
          <w:rFonts w:cs="Times New Roman"/>
          <w:color w:val="000000" w:themeColor="text1"/>
        </w:rPr>
        <w:t xml:space="preserve"> </w:t>
      </w:r>
      <w:r w:rsidR="003D41EC">
        <w:rPr>
          <w:rFonts w:cs="Times New Roman"/>
          <w:color w:val="000000" w:themeColor="text1"/>
        </w:rPr>
        <w:t>Internal Revenue Service’s (</w:t>
      </w:r>
      <w:r w:rsidR="00375E05">
        <w:rPr>
          <w:rFonts w:cs="Times New Roman"/>
          <w:color w:val="000000" w:themeColor="text1"/>
        </w:rPr>
        <w:t>IRS’s</w:t>
      </w:r>
      <w:r w:rsidR="003D41EC">
        <w:rPr>
          <w:rFonts w:cs="Times New Roman"/>
          <w:color w:val="000000" w:themeColor="text1"/>
        </w:rPr>
        <w:t>)</w:t>
      </w:r>
      <w:r w:rsidRPr="00032367">
        <w:rPr>
          <w:rFonts w:cs="Times New Roman"/>
          <w:color w:val="000000" w:themeColor="text1"/>
        </w:rPr>
        <w:t xml:space="preserve"> radar for</w:t>
      </w:r>
      <w:r>
        <w:rPr>
          <w:rFonts w:cs="Times New Roman"/>
          <w:color w:val="000000" w:themeColor="text1"/>
        </w:rPr>
        <w:t xml:space="preserve"> the last</w:t>
      </w:r>
      <w:r w:rsidR="003D41EC">
        <w:rPr>
          <w:rFonts w:cs="Times New Roman"/>
          <w:color w:val="000000" w:themeColor="text1"/>
        </w:rPr>
        <w:t xml:space="preserve"> twenty</w:t>
      </w:r>
      <w:r>
        <w:rPr>
          <w:rFonts w:cs="Times New Roman"/>
          <w:color w:val="000000" w:themeColor="text1"/>
        </w:rPr>
        <w:t xml:space="preserve"> years</w:t>
      </w:r>
      <w:r w:rsidRPr="00032367">
        <w:rPr>
          <w:rFonts w:cs="Times New Roman"/>
          <w:color w:val="000000" w:themeColor="text1"/>
        </w:rPr>
        <w:t>.</w:t>
      </w:r>
      <w:bookmarkStart w:id="1" w:name="_Ref141549616"/>
      <w:r>
        <w:rPr>
          <w:rStyle w:val="FootnoteReference"/>
          <w:rFonts w:cs="Times New Roman"/>
          <w:color w:val="000000" w:themeColor="text1"/>
        </w:rPr>
        <w:footnoteReference w:id="3"/>
      </w:r>
      <w:bookmarkEnd w:id="1"/>
      <w:r w:rsidRPr="00032367">
        <w:rPr>
          <w:rFonts w:cs="Times New Roman"/>
          <w:color w:val="000000" w:themeColor="text1"/>
        </w:rPr>
        <w:t xml:space="preserve"> </w:t>
      </w:r>
      <w:r>
        <w:rPr>
          <w:rFonts w:cs="Times New Roman"/>
          <w:color w:val="000000" w:themeColor="text1"/>
        </w:rPr>
        <w:t xml:space="preserve">For purposes of this </w:t>
      </w:r>
      <w:proofErr w:type="spellStart"/>
      <w:r>
        <w:rPr>
          <w:rFonts w:cs="Times New Roman"/>
          <w:color w:val="000000" w:themeColor="text1"/>
        </w:rPr>
        <w:t>rticle</w:t>
      </w:r>
      <w:proofErr w:type="spellEnd"/>
      <w:r>
        <w:rPr>
          <w:rFonts w:cs="Times New Roman"/>
          <w:color w:val="000000" w:themeColor="text1"/>
        </w:rPr>
        <w:t xml:space="preserve">, the term “micro-captive” refers to captive insurance companies who have opted for Internal Revenue Code (IRC) </w:t>
      </w:r>
      <w:r w:rsidRPr="00032367">
        <w:rPr>
          <w:rFonts w:eastAsia="Times New Roman" w:cs="Times New Roman"/>
          <w:color w:val="000000" w:themeColor="text1"/>
          <w:bdr w:val="none" w:sz="0" w:space="0" w:color="auto" w:frame="1"/>
        </w:rPr>
        <w:t>§</w:t>
      </w:r>
      <w:r>
        <w:rPr>
          <w:rFonts w:cs="Times New Roman"/>
          <w:color w:val="000000" w:themeColor="text1"/>
        </w:rPr>
        <w:t xml:space="preserve"> 831(b) status.</w:t>
      </w:r>
      <w:r>
        <w:rPr>
          <w:rStyle w:val="FootnoteReference"/>
          <w:rFonts w:cs="Times New Roman"/>
          <w:color w:val="000000" w:themeColor="text1"/>
        </w:rPr>
        <w:footnoteReference w:id="4"/>
      </w:r>
      <w:r>
        <w:rPr>
          <w:rFonts w:cs="Times New Roman"/>
          <w:color w:val="000000" w:themeColor="text1"/>
        </w:rPr>
        <w:t xml:space="preserve"> </w:t>
      </w:r>
      <w:r w:rsidRPr="00032367">
        <w:rPr>
          <w:rFonts w:cs="Times New Roman"/>
          <w:color w:val="000000" w:themeColor="text1"/>
        </w:rPr>
        <w:t xml:space="preserve">The IRS </w:t>
      </w:r>
      <w:r>
        <w:rPr>
          <w:rFonts w:cs="Times New Roman"/>
          <w:color w:val="000000" w:themeColor="text1"/>
        </w:rPr>
        <w:t>has long been concerned with the fact that covered businesses obtain a tax deduction for premium payments made to its micro-captive, but the micro-captive pays no tax on its receipt of the premiums, while paying out zero to minimal claims</w:t>
      </w:r>
      <w:r w:rsidRPr="00032367">
        <w:rPr>
          <w:rFonts w:cs="Times New Roman"/>
          <w:color w:val="000000" w:themeColor="text1"/>
        </w:rPr>
        <w:t>.</w:t>
      </w:r>
      <w:bookmarkStart w:id="2" w:name="_Ref141549543"/>
      <w:r>
        <w:rPr>
          <w:rStyle w:val="FootnoteReference"/>
          <w:rFonts w:cs="Times New Roman"/>
          <w:color w:val="000000" w:themeColor="text1"/>
        </w:rPr>
        <w:footnoteReference w:id="5"/>
      </w:r>
      <w:bookmarkEnd w:id="2"/>
      <w:r w:rsidRPr="00032367">
        <w:rPr>
          <w:rFonts w:cs="Times New Roman"/>
          <w:color w:val="000000" w:themeColor="text1"/>
        </w:rPr>
        <w:t xml:space="preserve"> </w:t>
      </w:r>
      <w:r>
        <w:rPr>
          <w:rFonts w:cs="Times New Roman"/>
          <w:color w:val="000000" w:themeColor="text1"/>
        </w:rPr>
        <w:t>That being said, the IRS has repeatedly said it is not seeking to destroy all micro-captives.</w:t>
      </w:r>
      <w:bookmarkStart w:id="3" w:name="_Ref149038974"/>
      <w:r>
        <w:rPr>
          <w:rStyle w:val="FootnoteReference"/>
          <w:rFonts w:cs="Times New Roman"/>
          <w:color w:val="000000" w:themeColor="text1"/>
        </w:rPr>
        <w:footnoteReference w:id="6"/>
      </w:r>
      <w:bookmarkEnd w:id="3"/>
      <w:r>
        <w:rPr>
          <w:rFonts w:cs="Times New Roman"/>
          <w:color w:val="000000" w:themeColor="text1"/>
        </w:rPr>
        <w:t xml:space="preserve"> </w:t>
      </w:r>
      <w:r w:rsidRPr="00032367">
        <w:rPr>
          <w:rFonts w:cs="Times New Roman"/>
          <w:color w:val="000000" w:themeColor="text1"/>
        </w:rPr>
        <w:t>Thus</w:t>
      </w:r>
      <w:r>
        <w:rPr>
          <w:rFonts w:cs="Times New Roman"/>
          <w:color w:val="000000" w:themeColor="text1"/>
        </w:rPr>
        <w:t>, the IRS</w:t>
      </w:r>
      <w:r w:rsidRPr="00032367">
        <w:rPr>
          <w:rFonts w:cs="Times New Roman"/>
          <w:color w:val="000000" w:themeColor="text1"/>
        </w:rPr>
        <w:t xml:space="preserve"> </w:t>
      </w:r>
      <w:r>
        <w:rPr>
          <w:rFonts w:cs="Times New Roman"/>
          <w:color w:val="000000" w:themeColor="text1"/>
        </w:rPr>
        <w:t>has sought to ensure that properly structured and run micro-captives are not overburdened</w:t>
      </w:r>
      <w:r w:rsidR="003D41EC">
        <w:rPr>
          <w:rFonts w:cs="Times New Roman"/>
          <w:color w:val="000000" w:themeColor="text1"/>
        </w:rPr>
        <w:t>,</w:t>
      </w:r>
      <w:r>
        <w:rPr>
          <w:rFonts w:cs="Times New Roman"/>
          <w:color w:val="000000" w:themeColor="text1"/>
        </w:rPr>
        <w:t xml:space="preserve"> while catching and penalizing aggressive micro-captives that operate as abusive tax shelters</w:t>
      </w:r>
      <w:r w:rsidRPr="00032367">
        <w:rPr>
          <w:rFonts w:cs="Times New Roman"/>
          <w:color w:val="000000" w:themeColor="text1"/>
        </w:rPr>
        <w:t xml:space="preserve">. </w:t>
      </w:r>
    </w:p>
    <w:p w14:paraId="6BEAC564" w14:textId="50097BC0" w:rsidR="005B517A" w:rsidRDefault="005B517A" w:rsidP="00357836">
      <w:pPr>
        <w:rPr>
          <w:rFonts w:cs="Times New Roman"/>
          <w:color w:val="000000" w:themeColor="text1"/>
        </w:rPr>
      </w:pPr>
      <w:r>
        <w:rPr>
          <w:rFonts w:cs="Times New Roman"/>
          <w:color w:val="000000" w:themeColor="text1"/>
        </w:rPr>
        <w:t xml:space="preserve">Two of the most important attempts at combatting micro-captive tax abuse </w:t>
      </w:r>
      <w:r w:rsidR="003D41EC">
        <w:rPr>
          <w:rFonts w:cs="Times New Roman"/>
          <w:color w:val="000000" w:themeColor="text1"/>
        </w:rPr>
        <w:t xml:space="preserve">are </w:t>
      </w:r>
      <w:r>
        <w:rPr>
          <w:rFonts w:cs="Times New Roman"/>
          <w:color w:val="000000" w:themeColor="text1"/>
        </w:rPr>
        <w:t>Notice 2016-66 and the new Proposed Regulations.</w:t>
      </w:r>
      <w:bookmarkStart w:id="4" w:name="_Ref141549575"/>
      <w:r>
        <w:rPr>
          <w:rStyle w:val="FootnoteReference"/>
          <w:rFonts w:cs="Times New Roman"/>
          <w:color w:val="000000" w:themeColor="text1"/>
        </w:rPr>
        <w:footnoteReference w:id="7"/>
      </w:r>
      <w:bookmarkEnd w:id="4"/>
      <w:r>
        <w:rPr>
          <w:rFonts w:cs="Times New Roman"/>
          <w:color w:val="000000" w:themeColor="text1"/>
        </w:rPr>
        <w:t xml:space="preserve"> The goal of Notice 2016-66 was to ensure that taxpayers and material advisors disclose enough about their micro-captive transactions for the IRS to determine whether the micro-captives were actual insurance or abusive tax transactions.</w:t>
      </w:r>
      <w:r>
        <w:rPr>
          <w:rStyle w:val="FootnoteReference"/>
          <w:rFonts w:cs="Times New Roman"/>
          <w:color w:val="000000" w:themeColor="text1"/>
        </w:rPr>
        <w:footnoteReference w:id="8"/>
      </w:r>
      <w:r>
        <w:rPr>
          <w:rFonts w:cs="Times New Roman"/>
          <w:color w:val="000000" w:themeColor="text1"/>
        </w:rPr>
        <w:t xml:space="preserve"> However, Notice 2016-66 created confusion and elicited challenges to it due </w:t>
      </w:r>
      <w:r>
        <w:rPr>
          <w:rFonts w:cs="Times New Roman"/>
          <w:color w:val="000000" w:themeColor="text1"/>
        </w:rPr>
        <w:lastRenderedPageBreak/>
        <w:t>to its vagueness on who must submit disclosures.</w:t>
      </w:r>
      <w:bookmarkStart w:id="5" w:name="_Ref141549600"/>
      <w:r>
        <w:rPr>
          <w:rStyle w:val="FootnoteReference"/>
          <w:rFonts w:cs="Times New Roman"/>
          <w:color w:val="000000" w:themeColor="text1"/>
        </w:rPr>
        <w:footnoteReference w:id="9"/>
      </w:r>
      <w:bookmarkEnd w:id="5"/>
      <w:r>
        <w:rPr>
          <w:rFonts w:cs="Times New Roman"/>
          <w:color w:val="000000" w:themeColor="text1"/>
        </w:rPr>
        <w:t xml:space="preserve"> The result of one of these challenges was </w:t>
      </w:r>
      <w:r w:rsidRPr="00032367">
        <w:rPr>
          <w:rFonts w:cs="Times New Roman"/>
          <w:i/>
          <w:iCs/>
          <w:color w:val="000000" w:themeColor="text1"/>
        </w:rPr>
        <w:t>CIC Services, LLC v. Internal Revenue Services</w:t>
      </w:r>
      <w:r>
        <w:rPr>
          <w:rFonts w:cs="Times New Roman"/>
          <w:color w:val="000000" w:themeColor="text1"/>
        </w:rPr>
        <w:t>, in which the U.S</w:t>
      </w:r>
      <w:r w:rsidR="00375E05">
        <w:rPr>
          <w:rFonts w:cs="Times New Roman"/>
          <w:color w:val="000000" w:themeColor="text1"/>
        </w:rPr>
        <w:t>.</w:t>
      </w:r>
      <w:r>
        <w:rPr>
          <w:rFonts w:cs="Times New Roman"/>
          <w:color w:val="000000" w:themeColor="text1"/>
        </w:rPr>
        <w:t xml:space="preserve"> Supreme Court </w:t>
      </w:r>
      <w:r w:rsidR="00C74897">
        <w:rPr>
          <w:rFonts w:cs="Times New Roman"/>
          <w:color w:val="000000" w:themeColor="text1"/>
        </w:rPr>
        <w:t>allowed a challenge to</w:t>
      </w:r>
      <w:r>
        <w:rPr>
          <w:rFonts w:cs="Times New Roman"/>
          <w:color w:val="000000" w:themeColor="text1"/>
        </w:rPr>
        <w:t xml:space="preserve"> Notice 2016-66 </w:t>
      </w:r>
      <w:r w:rsidR="00C74897">
        <w:rPr>
          <w:rFonts w:cs="Times New Roman"/>
          <w:color w:val="000000" w:themeColor="text1"/>
        </w:rPr>
        <w:t>under the</w:t>
      </w:r>
      <w:r>
        <w:rPr>
          <w:rFonts w:cs="Times New Roman"/>
          <w:color w:val="000000" w:themeColor="text1"/>
        </w:rPr>
        <w:t xml:space="preserve"> </w:t>
      </w:r>
      <w:r w:rsidR="00B36D7A">
        <w:rPr>
          <w:rFonts w:cs="Times New Roman"/>
          <w:color w:val="000000" w:themeColor="text1"/>
        </w:rPr>
        <w:t>Administrative Procedure Act (</w:t>
      </w:r>
      <w:r>
        <w:rPr>
          <w:rFonts w:cs="Times New Roman"/>
          <w:color w:val="000000" w:themeColor="text1"/>
        </w:rPr>
        <w:t>APA</w:t>
      </w:r>
      <w:r w:rsidR="00B36D7A">
        <w:rPr>
          <w:rFonts w:cs="Times New Roman"/>
          <w:color w:val="000000" w:themeColor="text1"/>
        </w:rPr>
        <w:t>)</w:t>
      </w:r>
      <w:r w:rsidR="00C74897">
        <w:rPr>
          <w:rFonts w:cs="Times New Roman"/>
          <w:color w:val="000000" w:themeColor="text1"/>
        </w:rPr>
        <w:t xml:space="preserve"> to proceed</w:t>
      </w:r>
      <w:r>
        <w:rPr>
          <w:rFonts w:cs="Times New Roman"/>
          <w:color w:val="000000" w:themeColor="text1"/>
        </w:rPr>
        <w:t>.</w:t>
      </w:r>
      <w:r>
        <w:rPr>
          <w:rStyle w:val="FootnoteReference"/>
          <w:rFonts w:cs="Times New Roman"/>
          <w:color w:val="000000" w:themeColor="text1"/>
        </w:rPr>
        <w:footnoteReference w:id="10"/>
      </w:r>
    </w:p>
    <w:p w14:paraId="3B30BB4D" w14:textId="3A4CD4DB" w:rsidR="003649A1" w:rsidRDefault="005B517A" w:rsidP="00357836">
      <w:pPr>
        <w:rPr>
          <w:rFonts w:cs="Times New Roman"/>
          <w:color w:val="000000" w:themeColor="text1"/>
        </w:rPr>
      </w:pPr>
      <w:r>
        <w:rPr>
          <w:rFonts w:cs="Times New Roman"/>
          <w:color w:val="000000" w:themeColor="text1"/>
        </w:rPr>
        <w:t>Rather than seeking to revise the Notice, the IRS instead issued Proposed Regulations to substantively keep much of Notice 2016-66 alive while improving its strategy for catching abusive micro-captives.</w:t>
      </w:r>
      <w:r>
        <w:rPr>
          <w:rStyle w:val="FootnoteReference"/>
          <w:rFonts w:cs="Times New Roman"/>
          <w:color w:val="000000" w:themeColor="text1"/>
        </w:rPr>
        <w:footnoteReference w:id="11"/>
      </w:r>
      <w:r>
        <w:rPr>
          <w:rFonts w:cs="Times New Roman"/>
          <w:color w:val="000000" w:themeColor="text1"/>
        </w:rPr>
        <w:t xml:space="preserve"> The P</w:t>
      </w:r>
      <w:r w:rsidRPr="00032367">
        <w:rPr>
          <w:rFonts w:cs="Times New Roman"/>
          <w:color w:val="000000" w:themeColor="text1"/>
        </w:rPr>
        <w:t xml:space="preserve">roposed </w:t>
      </w:r>
      <w:r>
        <w:rPr>
          <w:rFonts w:cs="Times New Roman"/>
          <w:color w:val="000000" w:themeColor="text1"/>
        </w:rPr>
        <w:t>R</w:t>
      </w:r>
      <w:r w:rsidRPr="00032367">
        <w:rPr>
          <w:rFonts w:cs="Times New Roman"/>
          <w:color w:val="000000" w:themeColor="text1"/>
        </w:rPr>
        <w:t xml:space="preserve">egulations </w:t>
      </w:r>
      <w:r>
        <w:rPr>
          <w:rFonts w:cs="Times New Roman"/>
          <w:color w:val="000000" w:themeColor="text1"/>
        </w:rPr>
        <w:t xml:space="preserve">elevate certain </w:t>
      </w:r>
      <w:r w:rsidRPr="00032367">
        <w:rPr>
          <w:rFonts w:cs="Times New Roman"/>
          <w:color w:val="000000" w:themeColor="text1"/>
        </w:rPr>
        <w:t xml:space="preserve">micro-captives from a </w:t>
      </w:r>
      <w:r>
        <w:rPr>
          <w:rFonts w:cs="Times New Roman"/>
          <w:color w:val="000000" w:themeColor="text1"/>
        </w:rPr>
        <w:t>“transaction of interest”</w:t>
      </w:r>
      <w:r w:rsidRPr="00032367">
        <w:rPr>
          <w:rFonts w:cs="Times New Roman"/>
          <w:color w:val="000000" w:themeColor="text1"/>
        </w:rPr>
        <w:t xml:space="preserve"> </w:t>
      </w:r>
      <w:r>
        <w:rPr>
          <w:rFonts w:cs="Times New Roman"/>
          <w:color w:val="000000" w:themeColor="text1"/>
        </w:rPr>
        <w:t>(under the Notice)</w:t>
      </w:r>
      <w:r>
        <w:rPr>
          <w:rStyle w:val="FootnoteReference"/>
          <w:rFonts w:cs="Times New Roman"/>
          <w:color w:val="000000" w:themeColor="text1"/>
        </w:rPr>
        <w:footnoteReference w:id="12"/>
      </w:r>
      <w:r w:rsidRPr="00032367">
        <w:rPr>
          <w:rFonts w:cs="Times New Roman"/>
          <w:color w:val="000000" w:themeColor="text1"/>
        </w:rPr>
        <w:t xml:space="preserve"> to a </w:t>
      </w:r>
      <w:r>
        <w:rPr>
          <w:rFonts w:cs="Times New Roman"/>
          <w:color w:val="000000" w:themeColor="text1"/>
        </w:rPr>
        <w:t>“</w:t>
      </w:r>
      <w:r w:rsidRPr="00032367">
        <w:rPr>
          <w:rFonts w:cs="Times New Roman"/>
          <w:color w:val="000000" w:themeColor="text1"/>
        </w:rPr>
        <w:t>listed transaction</w:t>
      </w:r>
      <w:r>
        <w:rPr>
          <w:rFonts w:cs="Times New Roman"/>
          <w:color w:val="000000" w:themeColor="text1"/>
        </w:rPr>
        <w:t>”</w:t>
      </w:r>
      <w:r>
        <w:rPr>
          <w:rStyle w:val="FootnoteReference"/>
          <w:rFonts w:cs="Times New Roman"/>
          <w:color w:val="000000" w:themeColor="text1"/>
        </w:rPr>
        <w:footnoteReference w:id="13"/>
      </w:r>
      <w:r>
        <w:rPr>
          <w:rFonts w:cs="Times New Roman"/>
          <w:color w:val="000000" w:themeColor="text1"/>
        </w:rPr>
        <w:t xml:space="preserve"> while leaving other micro-captives under the transaction of interest designation.</w:t>
      </w:r>
      <w:r>
        <w:rPr>
          <w:rStyle w:val="FootnoteReference"/>
          <w:rFonts w:cs="Times New Roman"/>
          <w:color w:val="000000" w:themeColor="text1"/>
        </w:rPr>
        <w:footnoteReference w:id="14"/>
      </w:r>
      <w:r>
        <w:rPr>
          <w:rFonts w:cs="Times New Roman"/>
          <w:color w:val="000000" w:themeColor="text1"/>
        </w:rPr>
        <w:t xml:space="preserve"> Those micro-captives that met the Proposed Regulations’ standard for listed transactions now potentially face a much more severe penalty structure and an IRS</w:t>
      </w:r>
      <w:r w:rsidR="00B36D7A">
        <w:rPr>
          <w:rFonts w:cs="Times New Roman"/>
          <w:color w:val="000000" w:themeColor="text1"/>
        </w:rPr>
        <w:t>-</w:t>
      </w:r>
      <w:r>
        <w:rPr>
          <w:rFonts w:cs="Times New Roman"/>
          <w:color w:val="000000" w:themeColor="text1"/>
        </w:rPr>
        <w:t>painted target on their backs. It is likely that the elevated potential penalties and scrutiny will deter aggressive micro-captives from continuing the practices that lead to listed transaction status.</w:t>
      </w:r>
    </w:p>
    <w:p w14:paraId="28262334" w14:textId="068CAE9F" w:rsidR="003649A1" w:rsidRPr="008C5B4A" w:rsidRDefault="005B517A" w:rsidP="00CC2D68">
      <w:pPr>
        <w:pStyle w:val="Heading1"/>
      </w:pPr>
      <w:bookmarkStart w:id="6" w:name="_Toc158622992"/>
      <w:r w:rsidRPr="00CC2D68">
        <w:t>The</w:t>
      </w:r>
      <w:r w:rsidRPr="00032367">
        <w:t xml:space="preserve"> Aggressive Captive Insurance Transaction</w:t>
      </w:r>
      <w:bookmarkEnd w:id="6"/>
    </w:p>
    <w:p w14:paraId="65F45D4C" w14:textId="5EB4C06C" w:rsidR="005B517A" w:rsidRPr="008C5B4A" w:rsidRDefault="005B517A" w:rsidP="00CC2D68">
      <w:pPr>
        <w:pStyle w:val="Heading2"/>
      </w:pPr>
      <w:bookmarkStart w:id="7" w:name="_Toc158622993"/>
      <w:r w:rsidRPr="00CC2D68">
        <w:t>Reportable</w:t>
      </w:r>
      <w:r w:rsidRPr="008C5B4A">
        <w:t xml:space="preserve"> Transactions Under the Internal Revenue Code</w:t>
      </w:r>
      <w:bookmarkEnd w:id="7"/>
    </w:p>
    <w:p w14:paraId="6AAC229F" w14:textId="77777777" w:rsidR="005B517A" w:rsidRPr="00032367" w:rsidRDefault="005B517A" w:rsidP="00CF290D">
      <w:pPr>
        <w:rPr>
          <w:rFonts w:cs="Times New Roman"/>
          <w:color w:val="000000" w:themeColor="text1"/>
        </w:rPr>
      </w:pPr>
      <w:r w:rsidRPr="00032367">
        <w:rPr>
          <w:rFonts w:cs="Times New Roman"/>
          <w:color w:val="000000" w:themeColor="text1"/>
        </w:rPr>
        <w:t xml:space="preserve">Congress requires </w:t>
      </w:r>
      <w:r>
        <w:rPr>
          <w:rFonts w:cs="Times New Roman"/>
          <w:color w:val="000000" w:themeColor="text1"/>
        </w:rPr>
        <w:t>(</w:t>
      </w:r>
      <w:r w:rsidRPr="00032367">
        <w:rPr>
          <w:rFonts w:cs="Times New Roman"/>
          <w:color w:val="000000" w:themeColor="text1"/>
        </w:rPr>
        <w:t>through the IRC</w:t>
      </w:r>
      <w:r>
        <w:rPr>
          <w:rFonts w:cs="Times New Roman"/>
          <w:color w:val="000000" w:themeColor="text1"/>
        </w:rPr>
        <w:t>)</w:t>
      </w:r>
      <w:r w:rsidRPr="00032367">
        <w:rPr>
          <w:rFonts w:cs="Times New Roman"/>
          <w:color w:val="000000" w:themeColor="text1"/>
        </w:rPr>
        <w:t xml:space="preserve"> that certain taxpayers provide the IRS with information regarding “reportable transaction[s].”</w:t>
      </w:r>
      <w:r w:rsidRPr="00032367">
        <w:rPr>
          <w:rStyle w:val="FootnoteReference"/>
          <w:rFonts w:cs="Times New Roman"/>
          <w:color w:val="000000" w:themeColor="text1"/>
        </w:rPr>
        <w:footnoteReference w:id="15"/>
      </w:r>
      <w:r w:rsidRPr="00032367">
        <w:rPr>
          <w:rFonts w:cs="Times New Roman"/>
          <w:color w:val="000000" w:themeColor="text1"/>
        </w:rPr>
        <w:t xml:space="preserve"> Reportable transactions are those where “information is required to be included with a return or statement because</w:t>
      </w:r>
      <w:r>
        <w:rPr>
          <w:rFonts w:cs="Times New Roman"/>
          <w:color w:val="000000" w:themeColor="text1"/>
        </w:rPr>
        <w:t xml:space="preserve"> </w:t>
      </w:r>
      <w:r w:rsidRPr="00032367">
        <w:rPr>
          <w:rFonts w:cs="Times New Roman"/>
          <w:color w:val="000000" w:themeColor="text1"/>
        </w:rPr>
        <w:t>. . . such transaction is of a type which the Secretary determines as having a potential for tax avoidance or evasion.”</w:t>
      </w:r>
      <w:r w:rsidRPr="00032367">
        <w:rPr>
          <w:rStyle w:val="FootnoteReference"/>
          <w:rFonts w:cs="Times New Roman"/>
          <w:color w:val="000000" w:themeColor="text1"/>
        </w:rPr>
        <w:footnoteReference w:id="16"/>
      </w:r>
      <w:r w:rsidRPr="00032367">
        <w:rPr>
          <w:rFonts w:cs="Times New Roman"/>
          <w:color w:val="000000" w:themeColor="text1"/>
        </w:rPr>
        <w:t xml:space="preserve"> The Secretary of the Department of Treasury has the authority to issue regulations to carry out the IRC, such as defining what may be a reportable transaction.</w:t>
      </w:r>
      <w:r w:rsidRPr="00032367">
        <w:rPr>
          <w:rStyle w:val="FootnoteReference"/>
          <w:rFonts w:cs="Times New Roman"/>
          <w:color w:val="000000" w:themeColor="text1"/>
        </w:rPr>
        <w:footnoteReference w:id="17"/>
      </w:r>
      <w:r w:rsidRPr="00032367">
        <w:rPr>
          <w:rFonts w:cs="Times New Roman"/>
          <w:color w:val="000000" w:themeColor="text1"/>
        </w:rPr>
        <w:t xml:space="preserve"> Further, the IRS may penalize those taxpayers and material advisors who fail to submit information as required </w:t>
      </w:r>
      <w:r>
        <w:rPr>
          <w:rFonts w:cs="Times New Roman"/>
          <w:color w:val="000000" w:themeColor="text1"/>
        </w:rPr>
        <w:t>for</w:t>
      </w:r>
      <w:r w:rsidRPr="00032367">
        <w:rPr>
          <w:rFonts w:cs="Times New Roman"/>
          <w:color w:val="000000" w:themeColor="text1"/>
        </w:rPr>
        <w:t xml:space="preserve"> reportable transactions.</w:t>
      </w:r>
      <w:r w:rsidRPr="00032367">
        <w:rPr>
          <w:rStyle w:val="FootnoteReference"/>
          <w:rFonts w:cs="Times New Roman"/>
          <w:color w:val="000000" w:themeColor="text1"/>
        </w:rPr>
        <w:footnoteReference w:id="18"/>
      </w:r>
    </w:p>
    <w:p w14:paraId="68B90AD2" w14:textId="7A434FE9" w:rsidR="005B517A" w:rsidRPr="00032367" w:rsidRDefault="005B517A" w:rsidP="00CF290D">
      <w:pPr>
        <w:rPr>
          <w:rFonts w:cs="Times New Roman"/>
          <w:color w:val="000000" w:themeColor="text1"/>
        </w:rPr>
      </w:pPr>
      <w:r w:rsidRPr="00032367">
        <w:rPr>
          <w:rFonts w:cs="Times New Roman"/>
          <w:color w:val="000000" w:themeColor="text1"/>
        </w:rPr>
        <w:t xml:space="preserve">The Secretary has designated </w:t>
      </w:r>
      <w:r>
        <w:rPr>
          <w:rFonts w:cs="Times New Roman"/>
          <w:color w:val="000000" w:themeColor="text1"/>
        </w:rPr>
        <w:t>different</w:t>
      </w:r>
      <w:r w:rsidRPr="00032367">
        <w:rPr>
          <w:rFonts w:cs="Times New Roman"/>
          <w:color w:val="000000" w:themeColor="text1"/>
        </w:rPr>
        <w:t xml:space="preserve"> types of reportable transactions, two of which are most important for micro-captive transactions</w:t>
      </w:r>
      <w:r>
        <w:rPr>
          <w:rFonts w:cs="Times New Roman"/>
          <w:color w:val="000000" w:themeColor="text1"/>
        </w:rPr>
        <w:t xml:space="preserve"> under the </w:t>
      </w:r>
      <w:r>
        <w:rPr>
          <w:rFonts w:cs="Times New Roman"/>
          <w:color w:val="000000" w:themeColor="text1"/>
        </w:rPr>
        <w:lastRenderedPageBreak/>
        <w:t>Proposed Regulations</w:t>
      </w:r>
      <w:r w:rsidRPr="00032367">
        <w:rPr>
          <w:rFonts w:cs="Times New Roman"/>
          <w:color w:val="000000" w:themeColor="text1"/>
        </w:rPr>
        <w:t xml:space="preserve">: </w:t>
      </w:r>
      <w:r>
        <w:rPr>
          <w:rFonts w:cs="Times New Roman"/>
          <w:color w:val="000000" w:themeColor="text1"/>
        </w:rPr>
        <w:t xml:space="preserve">(1) listed transactions and (2) </w:t>
      </w:r>
      <w:r w:rsidRPr="00032367">
        <w:rPr>
          <w:rFonts w:cs="Times New Roman"/>
          <w:color w:val="000000" w:themeColor="text1"/>
        </w:rPr>
        <w:t>transactions of interest.</w:t>
      </w:r>
      <w:r w:rsidRPr="00032367">
        <w:rPr>
          <w:rStyle w:val="FootnoteReference"/>
          <w:rFonts w:cs="Times New Roman"/>
          <w:color w:val="000000" w:themeColor="text1"/>
        </w:rPr>
        <w:footnoteReference w:id="19"/>
      </w:r>
      <w:r w:rsidRPr="00032367">
        <w:rPr>
          <w:rFonts w:cs="Times New Roman"/>
          <w:color w:val="000000" w:themeColor="text1"/>
        </w:rPr>
        <w:t xml:space="preserve"> Listed transactions are those “that [are] the same as or substantially similar to one of the types of transactions that the Internal Revenue Service has </w:t>
      </w:r>
      <w:r w:rsidRPr="00032367">
        <w:rPr>
          <w:rFonts w:cs="Times New Roman"/>
          <w:i/>
          <w:iCs/>
          <w:color w:val="000000" w:themeColor="text1"/>
        </w:rPr>
        <w:t>determined</w:t>
      </w:r>
      <w:r w:rsidRPr="00032367">
        <w:rPr>
          <w:rFonts w:cs="Times New Roman"/>
          <w:color w:val="000000" w:themeColor="text1"/>
        </w:rPr>
        <w:t xml:space="preserve"> to be a tax avoidance transaction and identified by notice, regulation, or other form of published guidance as a listed transaction.”</w:t>
      </w:r>
      <w:r w:rsidRPr="00032367">
        <w:rPr>
          <w:rStyle w:val="FootnoteReference"/>
          <w:rFonts w:cs="Times New Roman"/>
          <w:color w:val="000000" w:themeColor="text1"/>
        </w:rPr>
        <w:footnoteReference w:id="20"/>
      </w:r>
      <w:r w:rsidRPr="00032367">
        <w:rPr>
          <w:rFonts w:cs="Times New Roman"/>
          <w:color w:val="000000" w:themeColor="text1"/>
        </w:rPr>
        <w:t xml:space="preserve"> On the other hand, transactions of interest are those that the IRS has deemed substantially similar to those the IRS is concerned about but </w:t>
      </w:r>
      <w:r w:rsidR="00B36D7A">
        <w:rPr>
          <w:rFonts w:cs="Times New Roman"/>
          <w:color w:val="000000" w:themeColor="text1"/>
        </w:rPr>
        <w:t xml:space="preserve">are </w:t>
      </w:r>
      <w:r w:rsidRPr="00032367">
        <w:rPr>
          <w:rFonts w:cs="Times New Roman"/>
          <w:color w:val="000000" w:themeColor="text1"/>
        </w:rPr>
        <w:t>not necessarily determined to be tax avoidance transactions.</w:t>
      </w:r>
      <w:r w:rsidRPr="00032367">
        <w:rPr>
          <w:rStyle w:val="FootnoteReference"/>
          <w:rFonts w:cs="Times New Roman"/>
          <w:color w:val="000000" w:themeColor="text1"/>
        </w:rPr>
        <w:footnoteReference w:id="21"/>
      </w:r>
      <w:r w:rsidRPr="00032367">
        <w:rPr>
          <w:rFonts w:cs="Times New Roman"/>
          <w:color w:val="000000" w:themeColor="text1"/>
        </w:rPr>
        <w:t xml:space="preserve"> </w:t>
      </w:r>
    </w:p>
    <w:p w14:paraId="1DE10B0F" w14:textId="6ECA011F" w:rsidR="005B517A" w:rsidRPr="00032367" w:rsidRDefault="005B517A" w:rsidP="00CF290D">
      <w:pPr>
        <w:rPr>
          <w:rFonts w:cs="Times New Roman"/>
          <w:color w:val="000000" w:themeColor="text1"/>
        </w:rPr>
      </w:pPr>
      <w:r w:rsidRPr="00032367">
        <w:rPr>
          <w:rFonts w:cs="Times New Roman"/>
          <w:color w:val="000000" w:themeColor="text1"/>
        </w:rPr>
        <w:t>Notably, the difference between these two designations significantly impacts penalties for taxpayers and material advisors.</w:t>
      </w:r>
      <w:r w:rsidRPr="00032367">
        <w:rPr>
          <w:rStyle w:val="FootnoteReference"/>
          <w:rFonts w:cs="Times New Roman"/>
          <w:color w:val="000000" w:themeColor="text1"/>
        </w:rPr>
        <w:footnoteReference w:id="22"/>
      </w:r>
      <w:r w:rsidRPr="00032367">
        <w:rPr>
          <w:rFonts w:cs="Times New Roman"/>
          <w:color w:val="000000" w:themeColor="text1"/>
        </w:rPr>
        <w:t xml:space="preserve"> With listed transactions, the maximum fine for those participating may be up to $200,000 for a corporate taxpayer or $100,000 for an individual taxpayer who is a natural person.</w:t>
      </w:r>
      <w:r w:rsidRPr="00032367">
        <w:rPr>
          <w:rStyle w:val="FootnoteReference"/>
          <w:rFonts w:cs="Times New Roman"/>
          <w:color w:val="000000" w:themeColor="text1"/>
        </w:rPr>
        <w:footnoteReference w:id="23"/>
      </w:r>
      <w:r w:rsidRPr="00032367">
        <w:rPr>
          <w:rFonts w:cs="Times New Roman"/>
          <w:color w:val="000000" w:themeColor="text1"/>
        </w:rPr>
        <w:t xml:space="preserve"> For any other reportable transaction, including transactions of interest, the maximum penalty is $50,000 for corporate taxpayers and $10,000 for individual taxpayers.</w:t>
      </w:r>
      <w:r w:rsidRPr="00032367">
        <w:rPr>
          <w:rStyle w:val="FootnoteReference"/>
          <w:rFonts w:cs="Times New Roman"/>
          <w:color w:val="000000" w:themeColor="text1"/>
        </w:rPr>
        <w:footnoteReference w:id="24"/>
      </w:r>
      <w:r w:rsidRPr="00032367">
        <w:rPr>
          <w:rFonts w:cs="Times New Roman"/>
          <w:color w:val="000000" w:themeColor="text1"/>
        </w:rPr>
        <w:t xml:space="preserve"> This distinction is enormous</w:t>
      </w:r>
      <w:r w:rsidR="003649A1">
        <w:rPr>
          <w:rFonts w:cs="Times New Roman"/>
          <w:color w:val="000000" w:themeColor="text1"/>
        </w:rPr>
        <w:t>,</w:t>
      </w:r>
      <w:r w:rsidRPr="00032367">
        <w:rPr>
          <w:rFonts w:cs="Times New Roman"/>
          <w:color w:val="000000" w:themeColor="text1"/>
        </w:rPr>
        <w:t xml:space="preserve"> as there </w:t>
      </w:r>
      <w:r w:rsidR="003649A1">
        <w:rPr>
          <w:rFonts w:cs="Times New Roman"/>
          <w:color w:val="000000" w:themeColor="text1"/>
        </w:rPr>
        <w:t>can be</w:t>
      </w:r>
      <w:r w:rsidRPr="00032367">
        <w:rPr>
          <w:rFonts w:cs="Times New Roman"/>
          <w:color w:val="000000" w:themeColor="text1"/>
        </w:rPr>
        <w:t xml:space="preserve"> a $150,000 gap for corporate taxpayers and a $90,000 gap for individual taxpayers</w:t>
      </w:r>
      <w:r w:rsidR="00B36D7A">
        <w:rPr>
          <w:rFonts w:cs="Times New Roman"/>
          <w:color w:val="000000" w:themeColor="text1"/>
        </w:rPr>
        <w:t>,</w:t>
      </w:r>
      <w:r w:rsidRPr="00032367">
        <w:rPr>
          <w:rFonts w:cs="Times New Roman"/>
          <w:color w:val="000000" w:themeColor="text1"/>
        </w:rPr>
        <w:t xml:space="preserve"> depending on the type of transaction. </w:t>
      </w:r>
    </w:p>
    <w:p w14:paraId="5D720016" w14:textId="276F3FED" w:rsidR="005B517A" w:rsidRPr="00032367" w:rsidRDefault="005B517A" w:rsidP="00CF290D">
      <w:pPr>
        <w:rPr>
          <w:rFonts w:cs="Times New Roman"/>
          <w:color w:val="000000" w:themeColor="text1"/>
        </w:rPr>
      </w:pPr>
      <w:r w:rsidRPr="00032367">
        <w:rPr>
          <w:rFonts w:cs="Times New Roman"/>
          <w:color w:val="000000" w:themeColor="text1"/>
        </w:rPr>
        <w:t>On the other hand, for material advisors who fail to file accurate information or file late regarding a listed transaction, the penalty will be the greater of 50% of the income the material advisor derived from aiding with the listed transaction or $200,000.</w:t>
      </w:r>
      <w:r w:rsidRPr="00032367">
        <w:rPr>
          <w:rStyle w:val="FootnoteReference"/>
          <w:rFonts w:cs="Times New Roman"/>
          <w:color w:val="000000" w:themeColor="text1"/>
        </w:rPr>
        <w:footnoteReference w:id="25"/>
      </w:r>
      <w:r w:rsidRPr="00032367">
        <w:rPr>
          <w:rFonts w:cs="Times New Roman"/>
          <w:color w:val="000000" w:themeColor="text1"/>
        </w:rPr>
        <w:t xml:space="preserve"> Material advisors who fail to furnish information regarding a transaction of interest or file late could face a $50,000 penalty.</w:t>
      </w:r>
      <w:r w:rsidRPr="00032367">
        <w:rPr>
          <w:rStyle w:val="FootnoteReference"/>
          <w:rFonts w:cs="Times New Roman"/>
          <w:color w:val="000000" w:themeColor="text1"/>
        </w:rPr>
        <w:footnoteReference w:id="26"/>
      </w:r>
      <w:r w:rsidRPr="00032367">
        <w:rPr>
          <w:rFonts w:cs="Times New Roman"/>
          <w:color w:val="000000" w:themeColor="text1"/>
        </w:rPr>
        <w:t xml:space="preserve"> Here, material advisors </w:t>
      </w:r>
      <w:r>
        <w:rPr>
          <w:rFonts w:cs="Times New Roman"/>
          <w:color w:val="000000" w:themeColor="text1"/>
        </w:rPr>
        <w:t xml:space="preserve">face a significant </w:t>
      </w:r>
      <w:r w:rsidRPr="00032367">
        <w:rPr>
          <w:rFonts w:cs="Times New Roman"/>
          <w:color w:val="000000" w:themeColor="text1"/>
        </w:rPr>
        <w:t xml:space="preserve">difference </w:t>
      </w:r>
      <w:r>
        <w:rPr>
          <w:rFonts w:cs="Times New Roman"/>
          <w:color w:val="000000" w:themeColor="text1"/>
        </w:rPr>
        <w:t>in</w:t>
      </w:r>
      <w:r w:rsidRPr="00032367">
        <w:rPr>
          <w:rFonts w:cs="Times New Roman"/>
          <w:color w:val="000000" w:themeColor="text1"/>
        </w:rPr>
        <w:t xml:space="preserve"> penalties </w:t>
      </w:r>
      <w:r>
        <w:rPr>
          <w:rFonts w:cs="Times New Roman"/>
          <w:color w:val="000000" w:themeColor="text1"/>
        </w:rPr>
        <w:t>of</w:t>
      </w:r>
      <w:r w:rsidRPr="00032367">
        <w:rPr>
          <w:rFonts w:cs="Times New Roman"/>
          <w:color w:val="000000" w:themeColor="text1"/>
        </w:rPr>
        <w:t xml:space="preserve"> $150,000 between the transaction designations. Still, this penalty could quickly rise due to the “greater of” language</w:t>
      </w:r>
      <w:r w:rsidR="003649A1">
        <w:rPr>
          <w:rFonts w:cs="Times New Roman"/>
          <w:color w:val="000000" w:themeColor="text1"/>
        </w:rPr>
        <w:t>,</w:t>
      </w:r>
      <w:r>
        <w:rPr>
          <w:rStyle w:val="FootnoteReference"/>
          <w:rFonts w:cs="Times New Roman"/>
          <w:color w:val="000000" w:themeColor="text1"/>
        </w:rPr>
        <w:footnoteReference w:id="27"/>
      </w:r>
      <w:r w:rsidRPr="00032367">
        <w:rPr>
          <w:rFonts w:cs="Times New Roman"/>
          <w:color w:val="000000" w:themeColor="text1"/>
        </w:rPr>
        <w:t xml:space="preserve"> whereby a loss of 50% of the income could render a massive penalty for listed transactions. </w:t>
      </w:r>
    </w:p>
    <w:p w14:paraId="797A2A53" w14:textId="74FEF64D" w:rsidR="005B517A" w:rsidRPr="00032367" w:rsidRDefault="005B517A" w:rsidP="00CF290D">
      <w:pPr>
        <w:rPr>
          <w:rFonts w:cs="Times New Roman"/>
          <w:color w:val="000000" w:themeColor="text1"/>
        </w:rPr>
      </w:pPr>
      <w:r w:rsidRPr="00032367">
        <w:rPr>
          <w:rFonts w:cs="Times New Roman"/>
          <w:color w:val="000000" w:themeColor="text1"/>
        </w:rPr>
        <w:t>Finally, there are also disclosure requirements for taxpayers participating in activities regard</w:t>
      </w:r>
      <w:r>
        <w:rPr>
          <w:rFonts w:cs="Times New Roman"/>
          <w:color w:val="000000" w:themeColor="text1"/>
        </w:rPr>
        <w:t>ing</w:t>
      </w:r>
      <w:r w:rsidRPr="00032367">
        <w:rPr>
          <w:rFonts w:cs="Times New Roman"/>
          <w:color w:val="000000" w:themeColor="text1"/>
        </w:rPr>
        <w:t xml:space="preserve"> reportable transactions.</w:t>
      </w:r>
      <w:r w:rsidRPr="00032367">
        <w:rPr>
          <w:rStyle w:val="FootnoteReference"/>
          <w:rFonts w:cs="Times New Roman"/>
          <w:color w:val="000000" w:themeColor="text1"/>
        </w:rPr>
        <w:footnoteReference w:id="28"/>
      </w:r>
      <w:r w:rsidRPr="00032367">
        <w:rPr>
          <w:rFonts w:cs="Times New Roman"/>
          <w:color w:val="000000" w:themeColor="text1"/>
        </w:rPr>
        <w:t xml:space="preserve"> Material advisors would also fall under this disclosure requirement.</w:t>
      </w:r>
      <w:r w:rsidRPr="00032367">
        <w:rPr>
          <w:rStyle w:val="FootnoteReference"/>
          <w:rFonts w:cs="Times New Roman"/>
          <w:color w:val="000000" w:themeColor="text1"/>
        </w:rPr>
        <w:footnoteReference w:id="29"/>
      </w:r>
      <w:r w:rsidRPr="00032367">
        <w:rPr>
          <w:rFonts w:cs="Times New Roman"/>
          <w:color w:val="000000" w:themeColor="text1"/>
        </w:rPr>
        <w:t xml:space="preserve"> </w:t>
      </w:r>
      <w:r>
        <w:rPr>
          <w:rFonts w:cs="Times New Roman"/>
          <w:color w:val="000000" w:themeColor="text1"/>
        </w:rPr>
        <w:t>The IRS has t</w:t>
      </w:r>
      <w:r w:rsidRPr="00032367">
        <w:rPr>
          <w:rFonts w:cs="Times New Roman"/>
          <w:color w:val="000000" w:themeColor="text1"/>
        </w:rPr>
        <w:t xml:space="preserve">hree </w:t>
      </w:r>
      <w:r>
        <w:rPr>
          <w:rFonts w:cs="Times New Roman"/>
          <w:color w:val="000000" w:themeColor="text1"/>
        </w:rPr>
        <w:t xml:space="preserve">reasons </w:t>
      </w:r>
      <w:r w:rsidRPr="00032367">
        <w:rPr>
          <w:rFonts w:cs="Times New Roman"/>
          <w:color w:val="000000" w:themeColor="text1"/>
        </w:rPr>
        <w:t xml:space="preserve">for </w:t>
      </w:r>
      <w:r>
        <w:rPr>
          <w:rFonts w:cs="Times New Roman"/>
          <w:color w:val="000000" w:themeColor="text1"/>
        </w:rPr>
        <w:t xml:space="preserve">mandating </w:t>
      </w:r>
      <w:r w:rsidRPr="00032367">
        <w:rPr>
          <w:rFonts w:cs="Times New Roman"/>
          <w:color w:val="000000" w:themeColor="text1"/>
        </w:rPr>
        <w:t>these disclosures for reportable transactions</w:t>
      </w:r>
      <w:r>
        <w:rPr>
          <w:rFonts w:cs="Times New Roman"/>
          <w:color w:val="000000" w:themeColor="text1"/>
        </w:rPr>
        <w:t>:</w:t>
      </w:r>
      <w:r w:rsidRPr="00032367">
        <w:rPr>
          <w:rFonts w:cs="Times New Roman"/>
          <w:color w:val="000000" w:themeColor="text1"/>
        </w:rPr>
        <w:t xml:space="preserve"> (1) </w:t>
      </w:r>
      <w:r>
        <w:rPr>
          <w:rFonts w:cs="Times New Roman"/>
          <w:color w:val="000000" w:themeColor="text1"/>
        </w:rPr>
        <w:t xml:space="preserve">to </w:t>
      </w:r>
      <w:r w:rsidRPr="00032367">
        <w:rPr>
          <w:rFonts w:cs="Times New Roman"/>
          <w:color w:val="000000" w:themeColor="text1"/>
        </w:rPr>
        <w:t xml:space="preserve">raise red flags for abusive tax </w:t>
      </w:r>
      <w:r>
        <w:rPr>
          <w:rFonts w:cs="Times New Roman"/>
          <w:color w:val="000000" w:themeColor="text1"/>
        </w:rPr>
        <w:t>transactions;</w:t>
      </w:r>
      <w:r w:rsidRPr="00032367">
        <w:rPr>
          <w:rFonts w:cs="Times New Roman"/>
          <w:color w:val="000000" w:themeColor="text1"/>
        </w:rPr>
        <w:t xml:space="preserve"> (2) </w:t>
      </w:r>
      <w:r w:rsidR="00375E05">
        <w:rPr>
          <w:rFonts w:cs="Times New Roman"/>
          <w:color w:val="000000" w:themeColor="text1"/>
        </w:rPr>
        <w:t xml:space="preserve">to </w:t>
      </w:r>
      <w:r w:rsidRPr="00032367">
        <w:rPr>
          <w:rFonts w:cs="Times New Roman"/>
          <w:color w:val="000000" w:themeColor="text1"/>
        </w:rPr>
        <w:t xml:space="preserve">communicate to taxpayers the types of </w:t>
      </w:r>
      <w:r w:rsidRPr="00032367">
        <w:rPr>
          <w:rFonts w:cs="Times New Roman"/>
          <w:color w:val="000000" w:themeColor="text1"/>
        </w:rPr>
        <w:lastRenderedPageBreak/>
        <w:t>transactions that the IRS deems abusive</w:t>
      </w:r>
      <w:r>
        <w:rPr>
          <w:rFonts w:cs="Times New Roman"/>
          <w:color w:val="000000" w:themeColor="text1"/>
        </w:rPr>
        <w:t>;</w:t>
      </w:r>
      <w:r w:rsidRPr="00032367">
        <w:rPr>
          <w:rFonts w:cs="Times New Roman"/>
          <w:color w:val="000000" w:themeColor="text1"/>
        </w:rPr>
        <w:t xml:space="preserve"> and (3) </w:t>
      </w:r>
      <w:r>
        <w:rPr>
          <w:rFonts w:cs="Times New Roman"/>
          <w:color w:val="000000" w:themeColor="text1"/>
        </w:rPr>
        <w:t xml:space="preserve">to </w:t>
      </w:r>
      <w:r w:rsidRPr="00032367">
        <w:rPr>
          <w:rFonts w:cs="Times New Roman"/>
          <w:color w:val="000000" w:themeColor="text1"/>
        </w:rPr>
        <w:t>“detect and deter abusive tax shelter activity.”</w:t>
      </w:r>
      <w:r w:rsidRPr="00032367">
        <w:rPr>
          <w:rStyle w:val="FootnoteReference"/>
          <w:rFonts w:cs="Times New Roman"/>
          <w:color w:val="000000" w:themeColor="text1"/>
        </w:rPr>
        <w:footnoteReference w:id="30"/>
      </w:r>
      <w:r w:rsidRPr="00032367">
        <w:rPr>
          <w:rFonts w:cs="Times New Roman"/>
          <w:color w:val="000000" w:themeColor="text1"/>
        </w:rPr>
        <w:t xml:space="preserve"> </w:t>
      </w:r>
    </w:p>
    <w:p w14:paraId="24990BD9" w14:textId="220C3B33" w:rsidR="003649A1" w:rsidRPr="00032367" w:rsidRDefault="005B517A" w:rsidP="00CF290D">
      <w:pPr>
        <w:rPr>
          <w:rFonts w:cs="Times New Roman"/>
          <w:color w:val="000000" w:themeColor="text1"/>
        </w:rPr>
      </w:pPr>
      <w:r>
        <w:rPr>
          <w:rFonts w:cs="Times New Roman"/>
          <w:color w:val="000000" w:themeColor="text1"/>
        </w:rPr>
        <w:t xml:space="preserve">Whenever the IRS makes use of the </w:t>
      </w:r>
      <w:r w:rsidRPr="00032367">
        <w:rPr>
          <w:rFonts w:cs="Times New Roman"/>
          <w:color w:val="000000" w:themeColor="text1"/>
        </w:rPr>
        <w:t>reportable transaction</w:t>
      </w:r>
      <w:r>
        <w:rPr>
          <w:rFonts w:cs="Times New Roman"/>
          <w:color w:val="000000" w:themeColor="text1"/>
        </w:rPr>
        <w:t xml:space="preserve"> regime, there </w:t>
      </w:r>
      <w:r w:rsidRPr="00032367">
        <w:rPr>
          <w:rFonts w:cs="Times New Roman"/>
          <w:color w:val="000000" w:themeColor="text1"/>
        </w:rPr>
        <w:t xml:space="preserve">is a risk that the IRS will promulgate too narrow or too broad </w:t>
      </w:r>
      <w:r>
        <w:rPr>
          <w:rFonts w:cs="Times New Roman"/>
          <w:color w:val="000000" w:themeColor="text1"/>
        </w:rPr>
        <w:t xml:space="preserve">a </w:t>
      </w:r>
      <w:r w:rsidRPr="00032367">
        <w:rPr>
          <w:rFonts w:cs="Times New Roman"/>
          <w:color w:val="000000" w:themeColor="text1"/>
        </w:rPr>
        <w:t>notice.</w:t>
      </w:r>
      <w:r w:rsidRPr="00032367">
        <w:rPr>
          <w:rStyle w:val="FootnoteReference"/>
          <w:rFonts w:cs="Times New Roman"/>
          <w:color w:val="000000" w:themeColor="text1"/>
        </w:rPr>
        <w:footnoteReference w:id="31"/>
      </w:r>
      <w:r w:rsidRPr="00032367">
        <w:rPr>
          <w:rFonts w:cs="Times New Roman"/>
          <w:color w:val="000000" w:themeColor="text1"/>
        </w:rPr>
        <w:t xml:space="preserve"> T</w:t>
      </w:r>
      <w:r>
        <w:rPr>
          <w:rFonts w:cs="Times New Roman"/>
          <w:color w:val="000000" w:themeColor="text1"/>
        </w:rPr>
        <w:t xml:space="preserve">he IRS errs on the side of disclosure by adding that transactions should be reported that are </w:t>
      </w:r>
      <w:r w:rsidRPr="00032367">
        <w:rPr>
          <w:rFonts w:cs="Times New Roman"/>
          <w:color w:val="000000" w:themeColor="text1"/>
        </w:rPr>
        <w:t>“substantially similar”</w:t>
      </w:r>
      <w:r>
        <w:rPr>
          <w:rFonts w:cs="Times New Roman"/>
          <w:color w:val="000000" w:themeColor="text1"/>
        </w:rPr>
        <w:t xml:space="preserve"> to the described transaction</w:t>
      </w:r>
      <w:r w:rsidRPr="00032367">
        <w:rPr>
          <w:rFonts w:cs="Times New Roman"/>
          <w:color w:val="000000" w:themeColor="text1"/>
        </w:rPr>
        <w:t>.</w:t>
      </w:r>
      <w:r w:rsidRPr="00032367">
        <w:rPr>
          <w:rStyle w:val="FootnoteReference"/>
          <w:rFonts w:cs="Times New Roman"/>
          <w:color w:val="000000" w:themeColor="text1"/>
        </w:rPr>
        <w:footnoteReference w:id="32"/>
      </w:r>
      <w:r w:rsidRPr="00032367">
        <w:rPr>
          <w:rFonts w:cs="Times New Roman"/>
          <w:color w:val="000000" w:themeColor="text1"/>
        </w:rPr>
        <w:t xml:space="preserve"> </w:t>
      </w:r>
      <w:r>
        <w:rPr>
          <w:rFonts w:cs="Times New Roman"/>
          <w:color w:val="000000" w:themeColor="text1"/>
        </w:rPr>
        <w:t xml:space="preserve">Of course, this addition has the potential to cause </w:t>
      </w:r>
      <w:r w:rsidRPr="00032367">
        <w:rPr>
          <w:rFonts w:cs="Times New Roman"/>
          <w:color w:val="000000" w:themeColor="text1"/>
        </w:rPr>
        <w:t>non-abusive transactions to submit information the IRS was never entitled to receive.</w:t>
      </w:r>
      <w:r w:rsidRPr="00032367">
        <w:rPr>
          <w:rStyle w:val="FootnoteReference"/>
          <w:rFonts w:cs="Times New Roman"/>
          <w:color w:val="000000" w:themeColor="text1"/>
        </w:rPr>
        <w:footnoteReference w:id="33"/>
      </w:r>
      <w:r w:rsidRPr="00032367">
        <w:rPr>
          <w:rFonts w:cs="Times New Roman"/>
          <w:color w:val="000000" w:themeColor="text1"/>
        </w:rPr>
        <w:t xml:space="preserve"> While the IRS has to </w:t>
      </w:r>
      <w:r>
        <w:rPr>
          <w:rFonts w:cs="Times New Roman"/>
          <w:color w:val="000000" w:themeColor="text1"/>
        </w:rPr>
        <w:t>review</w:t>
      </w:r>
      <w:r w:rsidRPr="00032367">
        <w:rPr>
          <w:rFonts w:cs="Times New Roman"/>
          <w:color w:val="000000" w:themeColor="text1"/>
        </w:rPr>
        <w:t xml:space="preserve"> transactions that never should have been submitted, taxpayers and material advisors of non-abusive transactions </w:t>
      </w:r>
      <w:r>
        <w:rPr>
          <w:rFonts w:cs="Times New Roman"/>
          <w:color w:val="000000" w:themeColor="text1"/>
        </w:rPr>
        <w:t xml:space="preserve">also must </w:t>
      </w:r>
      <w:r w:rsidRPr="00032367">
        <w:rPr>
          <w:rFonts w:cs="Times New Roman"/>
          <w:color w:val="000000" w:themeColor="text1"/>
        </w:rPr>
        <w:t xml:space="preserve">expend </w:t>
      </w:r>
      <w:r>
        <w:rPr>
          <w:rFonts w:cs="Times New Roman"/>
          <w:color w:val="000000" w:themeColor="text1"/>
        </w:rPr>
        <w:t xml:space="preserve">unnecessary </w:t>
      </w:r>
      <w:r w:rsidRPr="00032367">
        <w:rPr>
          <w:rFonts w:cs="Times New Roman"/>
          <w:color w:val="000000" w:themeColor="text1"/>
        </w:rPr>
        <w:t xml:space="preserve">time and resources </w:t>
      </w:r>
      <w:r>
        <w:rPr>
          <w:rFonts w:cs="Times New Roman"/>
          <w:color w:val="000000" w:themeColor="text1"/>
        </w:rPr>
        <w:t>on IRS compliance</w:t>
      </w:r>
      <w:r w:rsidRPr="00032367">
        <w:rPr>
          <w:rFonts w:cs="Times New Roman"/>
          <w:color w:val="000000" w:themeColor="text1"/>
        </w:rPr>
        <w:t>.</w:t>
      </w:r>
      <w:r w:rsidRPr="00032367">
        <w:rPr>
          <w:rStyle w:val="FootnoteReference"/>
          <w:rFonts w:cs="Times New Roman"/>
          <w:color w:val="000000" w:themeColor="text1"/>
        </w:rPr>
        <w:footnoteReference w:id="34"/>
      </w:r>
      <w:r w:rsidRPr="00032367">
        <w:rPr>
          <w:rFonts w:cs="Times New Roman"/>
          <w:color w:val="000000" w:themeColor="text1"/>
        </w:rPr>
        <w:t xml:space="preserve"> T</w:t>
      </w:r>
      <w:r>
        <w:rPr>
          <w:rFonts w:cs="Times New Roman"/>
          <w:color w:val="000000" w:themeColor="text1"/>
        </w:rPr>
        <w:t>he IRS seeks to</w:t>
      </w:r>
      <w:r w:rsidRPr="00032367">
        <w:rPr>
          <w:rFonts w:cs="Times New Roman"/>
          <w:color w:val="000000" w:themeColor="text1"/>
        </w:rPr>
        <w:t xml:space="preserve"> avoid this problem</w:t>
      </w:r>
      <w:r>
        <w:rPr>
          <w:rFonts w:cs="Times New Roman"/>
          <w:color w:val="000000" w:themeColor="text1"/>
        </w:rPr>
        <w:t xml:space="preserve"> by being very specific in describing which transactions are abusive and require disclosure</w:t>
      </w:r>
      <w:r w:rsidRPr="00032367">
        <w:rPr>
          <w:rFonts w:cs="Times New Roman"/>
          <w:color w:val="000000" w:themeColor="text1"/>
        </w:rPr>
        <w:t>.</w:t>
      </w:r>
      <w:r w:rsidRPr="00032367">
        <w:rPr>
          <w:rStyle w:val="FootnoteReference"/>
          <w:rFonts w:cs="Times New Roman"/>
          <w:color w:val="000000" w:themeColor="text1"/>
        </w:rPr>
        <w:footnoteReference w:id="35"/>
      </w:r>
      <w:r w:rsidRPr="00032367">
        <w:rPr>
          <w:rFonts w:cs="Times New Roman"/>
          <w:color w:val="000000" w:themeColor="text1"/>
        </w:rPr>
        <w:t xml:space="preserve"> </w:t>
      </w:r>
      <w:r>
        <w:rPr>
          <w:rFonts w:cs="Times New Roman"/>
          <w:color w:val="000000" w:themeColor="text1"/>
        </w:rPr>
        <w:t>As described above, the use of notices for this purpose has led to numerous challenges, and the result</w:t>
      </w:r>
      <w:r w:rsidR="00BC3FCA">
        <w:rPr>
          <w:rFonts w:cs="Times New Roman"/>
          <w:color w:val="000000" w:themeColor="text1"/>
        </w:rPr>
        <w:t xml:space="preserve"> for micro-captives</w:t>
      </w:r>
      <w:r>
        <w:rPr>
          <w:rFonts w:cs="Times New Roman"/>
          <w:color w:val="000000" w:themeColor="text1"/>
        </w:rPr>
        <w:t xml:space="preserve"> was a</w:t>
      </w:r>
      <w:r w:rsidR="00BC3FCA">
        <w:rPr>
          <w:rFonts w:cs="Times New Roman"/>
          <w:color w:val="000000" w:themeColor="text1"/>
        </w:rPr>
        <w:t xml:space="preserve"> ruling from the Eastern District of Tennessee that </w:t>
      </w:r>
      <w:r>
        <w:rPr>
          <w:rFonts w:cs="Times New Roman"/>
          <w:color w:val="000000" w:themeColor="text1"/>
        </w:rPr>
        <w:t>Notice 2016-66 failed to follow the APA and was issued in an arbitrary and capricious manner.</w:t>
      </w:r>
      <w:r w:rsidRPr="00032367">
        <w:rPr>
          <w:rStyle w:val="FootnoteReference"/>
          <w:rFonts w:cs="Times New Roman"/>
          <w:color w:val="000000" w:themeColor="text1"/>
        </w:rPr>
        <w:footnoteReference w:id="36"/>
      </w:r>
    </w:p>
    <w:p w14:paraId="2016538E" w14:textId="2CDED775" w:rsidR="005B517A" w:rsidRPr="008C5B4A" w:rsidRDefault="005B517A" w:rsidP="00CC2D68">
      <w:pPr>
        <w:pStyle w:val="Heading2"/>
      </w:pPr>
      <w:bookmarkStart w:id="8" w:name="_Toc158622994"/>
      <w:r w:rsidRPr="008C5B4A">
        <w:t>Micro-</w:t>
      </w:r>
      <w:r w:rsidR="00B36D7A">
        <w:t>C</w:t>
      </w:r>
      <w:r w:rsidRPr="008C5B4A">
        <w:t>aptive Insurance Companies</w:t>
      </w:r>
      <w:bookmarkEnd w:id="8"/>
    </w:p>
    <w:p w14:paraId="13902CEE" w14:textId="5746E372" w:rsidR="005B517A" w:rsidRPr="00032367" w:rsidRDefault="005B517A" w:rsidP="00CC2D68">
      <w:pPr>
        <w:pStyle w:val="Heading3"/>
        <w:rPr>
          <w:i w:val="0"/>
        </w:rPr>
      </w:pPr>
      <w:bookmarkStart w:id="9" w:name="_Toc158622995"/>
      <w:r w:rsidRPr="00CC2D68">
        <w:t>Background</w:t>
      </w:r>
      <w:r w:rsidRPr="00032367">
        <w:t xml:space="preserve"> of Captive Insurance Companies</w:t>
      </w:r>
      <w:bookmarkEnd w:id="9"/>
    </w:p>
    <w:p w14:paraId="1D185EBC" w14:textId="6A321CE7" w:rsidR="005B517A" w:rsidRPr="00032367" w:rsidRDefault="005B517A" w:rsidP="00CF290D">
      <w:pPr>
        <w:rPr>
          <w:rFonts w:cs="Times New Roman"/>
          <w:color w:val="000000" w:themeColor="text1"/>
        </w:rPr>
      </w:pPr>
      <w:r w:rsidRPr="00032367">
        <w:rPr>
          <w:rFonts w:cs="Times New Roman"/>
          <w:color w:val="000000" w:themeColor="text1"/>
        </w:rPr>
        <w:t xml:space="preserve">A </w:t>
      </w:r>
      <w:r>
        <w:rPr>
          <w:rFonts w:cs="Times New Roman"/>
          <w:color w:val="000000" w:themeColor="text1"/>
        </w:rPr>
        <w:t>micro-</w:t>
      </w:r>
      <w:r w:rsidRPr="00032367">
        <w:rPr>
          <w:rFonts w:cs="Times New Roman"/>
          <w:color w:val="000000" w:themeColor="text1"/>
        </w:rPr>
        <w:t>captive insurance company’s role is to write insurance policies.</w:t>
      </w:r>
      <w:bookmarkStart w:id="10" w:name="_Ref141549696"/>
      <w:r w:rsidRPr="00032367">
        <w:rPr>
          <w:rStyle w:val="FootnoteReference"/>
          <w:rFonts w:cs="Times New Roman"/>
          <w:color w:val="000000" w:themeColor="text1"/>
        </w:rPr>
        <w:footnoteReference w:id="37"/>
      </w:r>
      <w:bookmarkEnd w:id="10"/>
      <w:r w:rsidRPr="00032367">
        <w:rPr>
          <w:rFonts w:cs="Times New Roman"/>
          <w:color w:val="000000" w:themeColor="text1"/>
        </w:rPr>
        <w:t xml:space="preserve"> </w:t>
      </w:r>
      <w:r>
        <w:rPr>
          <w:rFonts w:cs="Times New Roman"/>
          <w:color w:val="000000" w:themeColor="text1"/>
        </w:rPr>
        <w:t>Often</w:t>
      </w:r>
      <w:r w:rsidR="003649A1">
        <w:rPr>
          <w:rFonts w:cs="Times New Roman"/>
          <w:color w:val="000000" w:themeColor="text1"/>
        </w:rPr>
        <w:t>,</w:t>
      </w:r>
      <w:r>
        <w:rPr>
          <w:rFonts w:cs="Times New Roman"/>
          <w:color w:val="000000" w:themeColor="text1"/>
        </w:rPr>
        <w:t xml:space="preserve"> the insured is a business whose shareholders also own the micro-captive</w:t>
      </w:r>
      <w:r w:rsidRPr="00032367">
        <w:rPr>
          <w:rFonts w:cs="Times New Roman"/>
          <w:color w:val="000000" w:themeColor="text1"/>
        </w:rPr>
        <w:t>.</w:t>
      </w:r>
      <w:r w:rsidRPr="00032367">
        <w:rPr>
          <w:rStyle w:val="FootnoteReference"/>
          <w:rFonts w:cs="Times New Roman"/>
          <w:color w:val="000000" w:themeColor="text1"/>
        </w:rPr>
        <w:footnoteReference w:id="38"/>
      </w:r>
      <w:r w:rsidRPr="00032367">
        <w:rPr>
          <w:rFonts w:cs="Times New Roman"/>
          <w:color w:val="000000" w:themeColor="text1"/>
        </w:rPr>
        <w:t xml:space="preserve"> A micro-captive insurance company is a small captive insurance company</w:t>
      </w:r>
      <w:r w:rsidRPr="00032367">
        <w:rPr>
          <w:rStyle w:val="FootnoteReference"/>
          <w:rFonts w:cs="Times New Roman"/>
          <w:color w:val="000000" w:themeColor="text1"/>
        </w:rPr>
        <w:footnoteReference w:id="39"/>
      </w:r>
      <w:r w:rsidRPr="00032367">
        <w:rPr>
          <w:rFonts w:cs="Times New Roman"/>
          <w:color w:val="000000" w:themeColor="text1"/>
        </w:rPr>
        <w:t xml:space="preserve"> that “makes a sec</w:t>
      </w:r>
      <w:r>
        <w:rPr>
          <w:rFonts w:cs="Times New Roman"/>
          <w:color w:val="000000" w:themeColor="text1"/>
        </w:rPr>
        <w:t>tion</w:t>
      </w:r>
      <w:r w:rsidRPr="00032367">
        <w:rPr>
          <w:rFonts w:cs="Times New Roman"/>
          <w:color w:val="000000" w:themeColor="text1"/>
        </w:rPr>
        <w:t xml:space="preserve"> 831(b) election to be taxed only on its </w:t>
      </w:r>
      <w:r w:rsidRPr="00032367">
        <w:rPr>
          <w:rFonts w:cs="Times New Roman"/>
          <w:color w:val="000000" w:themeColor="text1"/>
        </w:rPr>
        <w:lastRenderedPageBreak/>
        <w:t>investment income, not on its underwriting income.”</w:t>
      </w:r>
      <w:r w:rsidRPr="00032367">
        <w:rPr>
          <w:rStyle w:val="FootnoteReference"/>
          <w:rFonts w:cs="Times New Roman"/>
          <w:color w:val="000000" w:themeColor="text1"/>
        </w:rPr>
        <w:footnoteReference w:id="40"/>
      </w:r>
      <w:r w:rsidRPr="00032367">
        <w:rPr>
          <w:rFonts w:cs="Times New Roman"/>
          <w:color w:val="000000" w:themeColor="text1"/>
        </w:rPr>
        <w:t xml:space="preserve"> The main tax advantage of this arrangement is the ability to deduct premiums paid to the captive as deductible business expenses,</w:t>
      </w:r>
      <w:r w:rsidRPr="00032367">
        <w:rPr>
          <w:rStyle w:val="FootnoteReference"/>
          <w:rFonts w:cs="Times New Roman"/>
          <w:color w:val="000000" w:themeColor="text1"/>
        </w:rPr>
        <w:footnoteReference w:id="41"/>
      </w:r>
      <w:r w:rsidRPr="00032367">
        <w:rPr>
          <w:rFonts w:cs="Times New Roman"/>
          <w:color w:val="000000" w:themeColor="text1"/>
        </w:rPr>
        <w:t xml:space="preserve"> while the captive does not pay tax on the same premiums received in the form of underwriting income (the “difference between an insurance company’s earned premiums and its expenses and claims”)</w:t>
      </w:r>
      <w:r w:rsidR="00222F8E">
        <w:rPr>
          <w:rFonts w:cs="Times New Roman"/>
          <w:color w:val="000000" w:themeColor="text1"/>
        </w:rPr>
        <w:t>.</w:t>
      </w:r>
      <w:r w:rsidRPr="00032367">
        <w:rPr>
          <w:rStyle w:val="FootnoteReference"/>
          <w:rFonts w:cs="Times New Roman"/>
          <w:color w:val="000000" w:themeColor="text1"/>
        </w:rPr>
        <w:footnoteReference w:id="42"/>
      </w:r>
      <w:r w:rsidRPr="00032367">
        <w:rPr>
          <w:rFonts w:cs="Times New Roman"/>
          <w:color w:val="000000" w:themeColor="text1"/>
        </w:rPr>
        <w:t xml:space="preserve"> In return for not being taxed on its underwriting income, the </w:t>
      </w:r>
      <w:r>
        <w:rPr>
          <w:rFonts w:cs="Times New Roman"/>
          <w:color w:val="000000" w:themeColor="text1"/>
        </w:rPr>
        <w:t>micro-</w:t>
      </w:r>
      <w:r w:rsidRPr="00032367">
        <w:rPr>
          <w:rFonts w:cs="Times New Roman"/>
          <w:color w:val="000000" w:themeColor="text1"/>
        </w:rPr>
        <w:t>captive may not deduct any underwriting income losses.</w:t>
      </w:r>
      <w:r w:rsidRPr="00032367">
        <w:rPr>
          <w:rStyle w:val="FootnoteReference"/>
          <w:rFonts w:cs="Times New Roman"/>
          <w:color w:val="000000" w:themeColor="text1"/>
        </w:rPr>
        <w:footnoteReference w:id="43"/>
      </w:r>
      <w:r w:rsidRPr="00032367">
        <w:rPr>
          <w:rFonts w:cs="Times New Roman"/>
          <w:color w:val="000000" w:themeColor="text1"/>
        </w:rPr>
        <w:t xml:space="preserve"> To be considered a micro-captive insurance company, the captive must receive less than the annually adjusted threshold </w:t>
      </w:r>
      <w:r>
        <w:rPr>
          <w:rFonts w:cs="Times New Roman"/>
          <w:color w:val="000000" w:themeColor="text1"/>
        </w:rPr>
        <w:t>(</w:t>
      </w:r>
      <w:r w:rsidRPr="00032367">
        <w:rPr>
          <w:rFonts w:cs="Times New Roman"/>
          <w:color w:val="000000" w:themeColor="text1"/>
        </w:rPr>
        <w:t>$2.65 million as of 2023</w:t>
      </w:r>
      <w:r>
        <w:rPr>
          <w:rFonts w:cs="Times New Roman"/>
          <w:color w:val="000000" w:themeColor="text1"/>
        </w:rPr>
        <w:t>)</w:t>
      </w:r>
      <w:r w:rsidRPr="00032367">
        <w:rPr>
          <w:rFonts w:cs="Times New Roman"/>
          <w:color w:val="000000" w:themeColor="text1"/>
        </w:rPr>
        <w:t>.</w:t>
      </w:r>
      <w:r w:rsidRPr="00032367">
        <w:rPr>
          <w:rStyle w:val="FootnoteReference"/>
          <w:rFonts w:cs="Times New Roman"/>
          <w:color w:val="000000" w:themeColor="text1"/>
        </w:rPr>
        <w:footnoteReference w:id="44"/>
      </w:r>
      <w:r w:rsidRPr="00032367">
        <w:rPr>
          <w:rFonts w:cs="Times New Roman"/>
          <w:color w:val="000000" w:themeColor="text1"/>
        </w:rPr>
        <w:t xml:space="preserve"> </w:t>
      </w:r>
      <w:r>
        <w:rPr>
          <w:rFonts w:cs="Times New Roman"/>
          <w:color w:val="000000" w:themeColor="text1"/>
        </w:rPr>
        <w:t>Micro-c</w:t>
      </w:r>
      <w:r w:rsidRPr="00032367">
        <w:rPr>
          <w:rFonts w:cs="Times New Roman"/>
          <w:color w:val="000000" w:themeColor="text1"/>
        </w:rPr>
        <w:t xml:space="preserve">aptives must still pay tax on the investment income the </w:t>
      </w:r>
      <w:r>
        <w:rPr>
          <w:rFonts w:cs="Times New Roman"/>
          <w:color w:val="000000" w:themeColor="text1"/>
        </w:rPr>
        <w:t>micro-</w:t>
      </w:r>
      <w:r w:rsidRPr="00032367">
        <w:rPr>
          <w:rFonts w:cs="Times New Roman"/>
          <w:color w:val="000000" w:themeColor="text1"/>
        </w:rPr>
        <w:t>captive earns from the accumulated premiums.</w:t>
      </w:r>
      <w:r w:rsidRPr="00032367">
        <w:rPr>
          <w:rStyle w:val="FootnoteReference"/>
          <w:rFonts w:cs="Times New Roman"/>
          <w:color w:val="000000" w:themeColor="text1"/>
        </w:rPr>
        <w:footnoteReference w:id="45"/>
      </w:r>
      <w:r w:rsidRPr="00032367">
        <w:rPr>
          <w:rFonts w:cs="Times New Roman"/>
          <w:color w:val="000000" w:themeColor="text1"/>
        </w:rPr>
        <w:t xml:space="preserve"> </w:t>
      </w:r>
    </w:p>
    <w:p w14:paraId="4AF71595" w14:textId="7875C0F5" w:rsidR="005B517A" w:rsidRPr="00032367" w:rsidRDefault="005B517A" w:rsidP="00CC2D68">
      <w:pPr>
        <w:pStyle w:val="Heading3"/>
        <w:rPr>
          <w:i w:val="0"/>
        </w:rPr>
      </w:pPr>
      <w:bookmarkStart w:id="11" w:name="_Toc158622996"/>
      <w:r w:rsidRPr="00032367">
        <w:t>The IRS’</w:t>
      </w:r>
      <w:r w:rsidR="00375E05">
        <w:t>s</w:t>
      </w:r>
      <w:r w:rsidRPr="00032367">
        <w:t xml:space="preserve"> Issue with Micro-Captive Transactions</w:t>
      </w:r>
      <w:bookmarkEnd w:id="11"/>
    </w:p>
    <w:p w14:paraId="0403D351" w14:textId="3903D0F0" w:rsidR="005B517A" w:rsidRPr="00032367" w:rsidRDefault="005B517A" w:rsidP="00CF290D">
      <w:pPr>
        <w:shd w:val="clear" w:color="auto" w:fill="FFFFFF"/>
        <w:rPr>
          <w:rFonts w:cs="Times New Roman"/>
          <w:color w:val="000000" w:themeColor="text1"/>
        </w:rPr>
      </w:pPr>
      <w:r w:rsidRPr="00032367">
        <w:rPr>
          <w:rFonts w:eastAsia="Times New Roman" w:cs="Times New Roman"/>
          <w:color w:val="000000" w:themeColor="text1"/>
          <w:bdr w:val="none" w:sz="0" w:space="0" w:color="auto" w:frame="1"/>
        </w:rPr>
        <w:t>IRC § 831(b) captives must still act as insurance companies.</w:t>
      </w:r>
      <w:r w:rsidRPr="00032367">
        <w:rPr>
          <w:rStyle w:val="FootnoteReference"/>
          <w:rFonts w:eastAsia="Times New Roman" w:cs="Times New Roman"/>
          <w:color w:val="000000" w:themeColor="text1"/>
          <w:bdr w:val="none" w:sz="0" w:space="0" w:color="auto" w:frame="1"/>
        </w:rPr>
        <w:footnoteReference w:id="46"/>
      </w:r>
      <w:r w:rsidRPr="00032367">
        <w:rPr>
          <w:rFonts w:eastAsia="Times New Roman" w:cs="Times New Roman"/>
          <w:color w:val="000000" w:themeColor="text1"/>
          <w:bdr w:val="none" w:sz="0" w:space="0" w:color="auto" w:frame="1"/>
        </w:rPr>
        <w:t xml:space="preserve"> However, the IRC does not define the term “insurance.”</w:t>
      </w:r>
      <w:r w:rsidRPr="00032367">
        <w:rPr>
          <w:rStyle w:val="FootnoteReference"/>
          <w:rFonts w:eastAsia="Times New Roman" w:cs="Times New Roman"/>
          <w:color w:val="000000" w:themeColor="text1"/>
          <w:bdr w:val="none" w:sz="0" w:space="0" w:color="auto" w:frame="1"/>
        </w:rPr>
        <w:footnoteReference w:id="47"/>
      </w:r>
      <w:r w:rsidRPr="00032367">
        <w:rPr>
          <w:rFonts w:cs="Times New Roman"/>
          <w:color w:val="000000" w:themeColor="text1"/>
        </w:rPr>
        <w:t xml:space="preserve"> That being said, the IRS and courts apply several critical factors to determin</w:t>
      </w:r>
      <w:r w:rsidR="00375E05">
        <w:rPr>
          <w:rFonts w:cs="Times New Roman"/>
          <w:color w:val="000000" w:themeColor="text1"/>
        </w:rPr>
        <w:t xml:space="preserve">e </w:t>
      </w:r>
      <w:r w:rsidRPr="00032367">
        <w:rPr>
          <w:rFonts w:cs="Times New Roman"/>
          <w:color w:val="000000" w:themeColor="text1"/>
        </w:rPr>
        <w:t>whether a company is truly an insurance company.</w:t>
      </w:r>
      <w:r w:rsidRPr="00032367">
        <w:rPr>
          <w:rStyle w:val="FootnoteReference"/>
          <w:rFonts w:cs="Times New Roman"/>
          <w:color w:val="000000" w:themeColor="text1"/>
        </w:rPr>
        <w:footnoteReference w:id="48"/>
      </w:r>
      <w:r w:rsidRPr="00032367">
        <w:rPr>
          <w:rFonts w:cs="Times New Roman"/>
          <w:color w:val="000000" w:themeColor="text1"/>
        </w:rPr>
        <w:t xml:space="preserve"> A proper insurance company must “involve risk-shifting[,] involve risk-distribution[,] involve insurance risk[,] and meet commonly accepted notions of insurance.”</w:t>
      </w:r>
      <w:r w:rsidRPr="00032367">
        <w:rPr>
          <w:rStyle w:val="FootnoteReference"/>
          <w:rFonts w:cs="Times New Roman"/>
          <w:color w:val="000000" w:themeColor="text1"/>
        </w:rPr>
        <w:footnoteReference w:id="49"/>
      </w:r>
      <w:r w:rsidRPr="00032367">
        <w:rPr>
          <w:rFonts w:cs="Times New Roman"/>
          <w:color w:val="000000" w:themeColor="text1"/>
        </w:rPr>
        <w:t xml:space="preserve"> </w:t>
      </w:r>
    </w:p>
    <w:p w14:paraId="487F629E" w14:textId="1F8BB24C" w:rsidR="008C5B4A" w:rsidRPr="00032367" w:rsidRDefault="005B517A" w:rsidP="00CF290D">
      <w:pPr>
        <w:shd w:val="clear" w:color="auto" w:fill="FFFFFF"/>
        <w:rPr>
          <w:rFonts w:cs="Times New Roman"/>
          <w:color w:val="000000" w:themeColor="text1"/>
        </w:rPr>
      </w:pPr>
      <w:r w:rsidRPr="00032367">
        <w:rPr>
          <w:rFonts w:cs="Times New Roman"/>
          <w:color w:val="000000" w:themeColor="text1"/>
        </w:rPr>
        <w:t xml:space="preserve">The IRS has taken several actions to battle captives </w:t>
      </w:r>
      <w:r w:rsidR="00B36D7A">
        <w:rPr>
          <w:rFonts w:cs="Times New Roman"/>
          <w:color w:val="000000" w:themeColor="text1"/>
        </w:rPr>
        <w:t>that</w:t>
      </w:r>
      <w:r w:rsidRPr="00032367">
        <w:rPr>
          <w:rFonts w:cs="Times New Roman"/>
          <w:color w:val="000000" w:themeColor="text1"/>
        </w:rPr>
        <w:t xml:space="preserve"> </w:t>
      </w:r>
      <w:r w:rsidR="003913E2">
        <w:rPr>
          <w:rFonts w:cs="Times New Roman"/>
          <w:color w:val="000000" w:themeColor="text1"/>
        </w:rPr>
        <w:t>it does</w:t>
      </w:r>
      <w:r w:rsidRPr="00032367">
        <w:rPr>
          <w:rFonts w:cs="Times New Roman"/>
          <w:color w:val="000000" w:themeColor="text1"/>
        </w:rPr>
        <w:t xml:space="preserve"> not deem to be insurance companies. For example, the IRS included these transactions on its “Dirty Dozen</w:t>
      </w:r>
      <w:r w:rsidR="00375E05">
        <w:rPr>
          <w:rFonts w:cs="Times New Roman"/>
          <w:color w:val="000000" w:themeColor="text1"/>
        </w:rPr>
        <w:t>”</w:t>
      </w:r>
      <w:r w:rsidRPr="00032367">
        <w:rPr>
          <w:rFonts w:cs="Times New Roman"/>
          <w:color w:val="000000" w:themeColor="text1"/>
        </w:rPr>
        <w:t xml:space="preserve"> list of tax scams.</w:t>
      </w:r>
      <w:r>
        <w:rPr>
          <w:rStyle w:val="FootnoteReference"/>
          <w:rFonts w:cs="Times New Roman"/>
          <w:color w:val="000000" w:themeColor="text1"/>
        </w:rPr>
        <w:footnoteReference w:id="50"/>
      </w:r>
      <w:r w:rsidRPr="00032367">
        <w:rPr>
          <w:rFonts w:cs="Times New Roman"/>
          <w:color w:val="000000" w:themeColor="text1"/>
        </w:rPr>
        <w:t xml:space="preserve"> </w:t>
      </w:r>
      <w:r w:rsidR="003649A1">
        <w:rPr>
          <w:rFonts w:cs="Times New Roman"/>
          <w:color w:val="000000" w:themeColor="text1"/>
        </w:rPr>
        <w:t xml:space="preserve">The </w:t>
      </w:r>
      <w:r w:rsidRPr="00032367">
        <w:rPr>
          <w:rFonts w:cs="Times New Roman"/>
          <w:color w:val="000000" w:themeColor="text1"/>
        </w:rPr>
        <w:t xml:space="preserve">IRS also launched an </w:t>
      </w:r>
      <w:r w:rsidR="00375E05">
        <w:rPr>
          <w:rFonts w:cs="Times New Roman"/>
          <w:color w:val="000000" w:themeColor="text1"/>
        </w:rPr>
        <w:t>“</w:t>
      </w:r>
      <w:r w:rsidRPr="00032367">
        <w:rPr>
          <w:rFonts w:cs="Times New Roman"/>
          <w:color w:val="000000" w:themeColor="text1"/>
        </w:rPr>
        <w:t xml:space="preserve">audit and investigation campaign against aggressive § 831(b) </w:t>
      </w:r>
      <w:r w:rsidR="00375E05">
        <w:rPr>
          <w:rFonts w:cs="Times New Roman"/>
          <w:color w:val="000000" w:themeColor="text1"/>
        </w:rPr>
        <w:t>[</w:t>
      </w:r>
      <w:r>
        <w:rPr>
          <w:rFonts w:cs="Times New Roman"/>
          <w:color w:val="000000" w:themeColor="text1"/>
        </w:rPr>
        <w:t>micro-</w:t>
      </w:r>
      <w:r w:rsidR="00375E05">
        <w:rPr>
          <w:rFonts w:cs="Times New Roman"/>
          <w:color w:val="000000" w:themeColor="text1"/>
        </w:rPr>
        <w:t>]</w:t>
      </w:r>
      <w:r w:rsidRPr="00032367">
        <w:rPr>
          <w:rFonts w:cs="Times New Roman"/>
          <w:color w:val="000000" w:themeColor="text1"/>
        </w:rPr>
        <w:t>captive promoters and operators.”</w:t>
      </w:r>
      <w:r w:rsidRPr="00032367">
        <w:rPr>
          <w:rStyle w:val="FootnoteReference"/>
          <w:rFonts w:cs="Times New Roman"/>
          <w:color w:val="000000" w:themeColor="text1"/>
        </w:rPr>
        <w:footnoteReference w:id="51"/>
      </w:r>
      <w:r w:rsidRPr="00032367">
        <w:rPr>
          <w:rFonts w:cs="Times New Roman"/>
          <w:color w:val="000000" w:themeColor="text1"/>
        </w:rPr>
        <w:t xml:space="preserve"> The IRS eventually issued Notice 2016-66 to </w:t>
      </w:r>
      <w:r w:rsidRPr="00032367">
        <w:rPr>
          <w:rFonts w:cs="Times New Roman"/>
          <w:color w:val="000000" w:themeColor="text1"/>
        </w:rPr>
        <w:lastRenderedPageBreak/>
        <w:t xml:space="preserve">describe which </w:t>
      </w:r>
      <w:r>
        <w:rPr>
          <w:rFonts w:cs="Times New Roman"/>
          <w:color w:val="000000" w:themeColor="text1"/>
        </w:rPr>
        <w:t>micro-</w:t>
      </w:r>
      <w:r w:rsidRPr="00032367">
        <w:rPr>
          <w:rFonts w:cs="Times New Roman"/>
          <w:color w:val="000000" w:themeColor="text1"/>
        </w:rPr>
        <w:t>captives were reportable transactions and who was required to disclose these transactions to IRS.</w:t>
      </w:r>
      <w:r w:rsidRPr="00032367">
        <w:rPr>
          <w:rStyle w:val="FootnoteReference"/>
          <w:rFonts w:cs="Times New Roman"/>
          <w:color w:val="000000" w:themeColor="text1"/>
        </w:rPr>
        <w:footnoteReference w:id="52"/>
      </w:r>
    </w:p>
    <w:p w14:paraId="0B9B2341" w14:textId="77777777" w:rsidR="005B517A" w:rsidRPr="00B83618" w:rsidRDefault="005B517A" w:rsidP="00CC2D68">
      <w:pPr>
        <w:pStyle w:val="Heading1"/>
        <w:rPr>
          <w:smallCaps w:val="0"/>
        </w:rPr>
      </w:pPr>
      <w:bookmarkStart w:id="12" w:name="_Toc158622997"/>
      <w:r w:rsidRPr="00CC2D68">
        <w:t>Notice</w:t>
      </w:r>
      <w:r w:rsidRPr="00B83618">
        <w:t xml:space="preserve"> 2016-66 &amp; the </w:t>
      </w:r>
      <w:r w:rsidRPr="00357836">
        <w:rPr>
          <w:i/>
          <w:iCs/>
        </w:rPr>
        <w:t>CIC Services</w:t>
      </w:r>
      <w:r w:rsidRPr="00B83618">
        <w:t xml:space="preserve"> Case</w:t>
      </w:r>
      <w:bookmarkEnd w:id="12"/>
    </w:p>
    <w:p w14:paraId="59A43234" w14:textId="77777777" w:rsidR="005B517A" w:rsidRPr="00B83618" w:rsidRDefault="005B517A" w:rsidP="00CC2D68">
      <w:pPr>
        <w:pStyle w:val="Heading2"/>
      </w:pPr>
      <w:bookmarkStart w:id="13" w:name="_Toc158622998"/>
      <w:r w:rsidRPr="00B83618">
        <w:t>Notice 2016-66</w:t>
      </w:r>
      <w:bookmarkEnd w:id="13"/>
    </w:p>
    <w:p w14:paraId="0B26DA92" w14:textId="1C01D338" w:rsidR="005B517A" w:rsidRPr="00032367" w:rsidRDefault="005B517A" w:rsidP="00CF290D">
      <w:pPr>
        <w:rPr>
          <w:rFonts w:cs="Times New Roman"/>
          <w:color w:val="000000" w:themeColor="text1"/>
        </w:rPr>
      </w:pPr>
      <w:r w:rsidRPr="00032367">
        <w:rPr>
          <w:rFonts w:cs="Times New Roman"/>
          <w:smallCaps/>
          <w:color w:val="000000" w:themeColor="text1"/>
        </w:rPr>
        <w:t>O</w:t>
      </w:r>
      <w:r w:rsidRPr="00032367">
        <w:rPr>
          <w:rFonts w:cs="Times New Roman"/>
          <w:color w:val="000000" w:themeColor="text1"/>
        </w:rPr>
        <w:t xml:space="preserve">n November 1, 2016, the IRS </w:t>
      </w:r>
      <w:r w:rsidR="00375E05">
        <w:rPr>
          <w:rFonts w:cs="Times New Roman"/>
          <w:color w:val="000000" w:themeColor="text1"/>
        </w:rPr>
        <w:t>issued</w:t>
      </w:r>
      <w:r w:rsidRPr="00032367">
        <w:rPr>
          <w:rFonts w:cs="Times New Roman"/>
          <w:color w:val="000000" w:themeColor="text1"/>
        </w:rPr>
        <w:t xml:space="preserve"> Notice 2016-66.</w:t>
      </w:r>
      <w:r w:rsidRPr="00032367">
        <w:rPr>
          <w:rStyle w:val="FootnoteReference"/>
          <w:rFonts w:cs="Times New Roman"/>
          <w:color w:val="000000" w:themeColor="text1"/>
        </w:rPr>
        <w:footnoteReference w:id="53"/>
      </w:r>
      <w:r w:rsidRPr="00032367">
        <w:rPr>
          <w:rFonts w:cs="Times New Roman"/>
          <w:color w:val="000000" w:themeColor="text1"/>
        </w:rPr>
        <w:t xml:space="preserve"> The IRS designated </w:t>
      </w:r>
      <w:r>
        <w:rPr>
          <w:rFonts w:cs="Times New Roman"/>
          <w:color w:val="000000" w:themeColor="text1"/>
        </w:rPr>
        <w:t xml:space="preserve">certain </w:t>
      </w:r>
      <w:r w:rsidRPr="00032367">
        <w:rPr>
          <w:rFonts w:cs="Times New Roman"/>
          <w:color w:val="000000" w:themeColor="text1"/>
        </w:rPr>
        <w:t>micro-captive transactions as transactions of interest.</w:t>
      </w:r>
      <w:r w:rsidRPr="00032367">
        <w:rPr>
          <w:rStyle w:val="FootnoteReference"/>
          <w:rFonts w:cs="Times New Roman"/>
          <w:color w:val="000000" w:themeColor="text1"/>
        </w:rPr>
        <w:footnoteReference w:id="54"/>
      </w:r>
      <w:r w:rsidRPr="00032367">
        <w:rPr>
          <w:rFonts w:cs="Times New Roman"/>
          <w:color w:val="000000" w:themeColor="text1"/>
        </w:rPr>
        <w:t xml:space="preserve"> However, the IRS struggled to identify which § 831(b) arrangements were tax avoidance transactions.</w:t>
      </w:r>
      <w:r w:rsidRPr="00032367">
        <w:rPr>
          <w:rStyle w:val="FootnoteReference"/>
          <w:rFonts w:cs="Times New Roman"/>
          <w:color w:val="000000" w:themeColor="text1"/>
        </w:rPr>
        <w:footnoteReference w:id="55"/>
      </w:r>
      <w:r w:rsidRPr="00032367">
        <w:rPr>
          <w:rFonts w:cs="Times New Roman"/>
          <w:color w:val="000000" w:themeColor="text1"/>
        </w:rPr>
        <w:t xml:space="preserve"> Participants were thus required</w:t>
      </w:r>
      <w:r>
        <w:rPr>
          <w:rFonts w:cs="Times New Roman"/>
          <w:color w:val="000000" w:themeColor="text1"/>
        </w:rPr>
        <w:t xml:space="preserve"> </w:t>
      </w:r>
      <w:r w:rsidRPr="00032367">
        <w:rPr>
          <w:rFonts w:cs="Times New Roman"/>
          <w:color w:val="000000" w:themeColor="text1"/>
        </w:rPr>
        <w:t xml:space="preserve">to disclose certain information to the IRS using Form 8886 if they </w:t>
      </w:r>
      <w:r>
        <w:rPr>
          <w:rFonts w:cs="Times New Roman"/>
          <w:color w:val="000000" w:themeColor="text1"/>
        </w:rPr>
        <w:t>were substantially similar to a t</w:t>
      </w:r>
      <w:r w:rsidRPr="00032367">
        <w:rPr>
          <w:rFonts w:cs="Times New Roman"/>
          <w:color w:val="000000" w:themeColor="text1"/>
        </w:rPr>
        <w:t>ransaction of interest.</w:t>
      </w:r>
      <w:r w:rsidRPr="00032367">
        <w:rPr>
          <w:rStyle w:val="FootnoteReference"/>
          <w:rFonts w:cs="Times New Roman"/>
          <w:color w:val="000000" w:themeColor="text1"/>
        </w:rPr>
        <w:footnoteReference w:id="56"/>
      </w:r>
      <w:r w:rsidRPr="00032367">
        <w:rPr>
          <w:rFonts w:cs="Times New Roman"/>
          <w:color w:val="000000" w:themeColor="text1"/>
        </w:rPr>
        <w:t xml:space="preserve"> All participants were to give sufficient detail to aid the IRS in understanding the tax structure for the reportable transaction.</w:t>
      </w:r>
      <w:r w:rsidRPr="00032367">
        <w:rPr>
          <w:rStyle w:val="FootnoteReference"/>
          <w:rFonts w:cs="Times New Roman"/>
          <w:color w:val="000000" w:themeColor="text1"/>
        </w:rPr>
        <w:footnoteReference w:id="57"/>
      </w:r>
      <w:r w:rsidRPr="00032367">
        <w:rPr>
          <w:rFonts w:cs="Times New Roman"/>
          <w:color w:val="000000" w:themeColor="text1"/>
        </w:rPr>
        <w:t xml:space="preserve"> The IRS issued several key distinctions to assist those handling micro-captive transactions.</w:t>
      </w:r>
      <w:r w:rsidRPr="00032367">
        <w:rPr>
          <w:rStyle w:val="FootnoteReference"/>
          <w:rFonts w:cs="Times New Roman"/>
          <w:color w:val="000000" w:themeColor="text1"/>
        </w:rPr>
        <w:footnoteReference w:id="58"/>
      </w:r>
    </w:p>
    <w:p w14:paraId="6C9BD92B" w14:textId="77777777" w:rsidR="005B517A" w:rsidRPr="00A06E58" w:rsidRDefault="005B517A" w:rsidP="00C242D9">
      <w:pPr>
        <w:pStyle w:val="Heading3"/>
        <w:rPr>
          <w:i w:val="0"/>
        </w:rPr>
      </w:pPr>
      <w:bookmarkStart w:id="14" w:name="_Toc158622999"/>
      <w:r w:rsidRPr="00CC2D68">
        <w:t>Reportable</w:t>
      </w:r>
      <w:r w:rsidRPr="00A06E58">
        <w:t xml:space="preserve"> Captive Transactions</w:t>
      </w:r>
      <w:bookmarkEnd w:id="14"/>
    </w:p>
    <w:p w14:paraId="31E7476D" w14:textId="0C8E2EED" w:rsidR="005B517A" w:rsidRPr="00032367" w:rsidRDefault="005B517A" w:rsidP="00CF290D">
      <w:pPr>
        <w:rPr>
          <w:rFonts w:cs="Times New Roman"/>
          <w:color w:val="000000" w:themeColor="text1"/>
        </w:rPr>
      </w:pPr>
      <w:r w:rsidRPr="00032367">
        <w:rPr>
          <w:rFonts w:cs="Times New Roman"/>
          <w:color w:val="000000" w:themeColor="text1"/>
        </w:rPr>
        <w:t>The IRS did not clearly define which micro-captive transactions were subject to disclosure</w:t>
      </w:r>
      <w:r>
        <w:rPr>
          <w:rFonts w:cs="Times New Roman"/>
          <w:color w:val="000000" w:themeColor="text1"/>
        </w:rPr>
        <w:t xml:space="preserve"> in Notice 2016-66</w:t>
      </w:r>
      <w:r w:rsidRPr="00032367">
        <w:rPr>
          <w:rFonts w:cs="Times New Roman"/>
          <w:color w:val="000000" w:themeColor="text1"/>
        </w:rPr>
        <w:t>.</w:t>
      </w:r>
      <w:r w:rsidRPr="00032367">
        <w:rPr>
          <w:rStyle w:val="FootnoteReference"/>
          <w:rFonts w:cs="Times New Roman"/>
          <w:color w:val="000000" w:themeColor="text1"/>
        </w:rPr>
        <w:footnoteReference w:id="59"/>
      </w:r>
      <w:r w:rsidRPr="00032367">
        <w:rPr>
          <w:rFonts w:cs="Times New Roman"/>
          <w:color w:val="000000" w:themeColor="text1"/>
        </w:rPr>
        <w:t xml:space="preserve"> Notice 2016-66 described situations that make a </w:t>
      </w:r>
      <w:r>
        <w:rPr>
          <w:rFonts w:cs="Times New Roman"/>
          <w:color w:val="000000" w:themeColor="text1"/>
        </w:rPr>
        <w:t>micro-</w:t>
      </w:r>
      <w:r w:rsidRPr="00032367">
        <w:rPr>
          <w:rFonts w:cs="Times New Roman"/>
          <w:color w:val="000000" w:themeColor="text1"/>
        </w:rPr>
        <w:t>captive a reportable transaction.</w:t>
      </w:r>
      <w:r w:rsidRPr="00032367">
        <w:rPr>
          <w:rStyle w:val="FootnoteReference"/>
          <w:rFonts w:cs="Times New Roman"/>
          <w:color w:val="000000" w:themeColor="text1"/>
        </w:rPr>
        <w:footnoteReference w:id="60"/>
      </w:r>
      <w:r w:rsidRPr="00032367">
        <w:rPr>
          <w:rFonts w:cs="Times New Roman"/>
          <w:color w:val="000000" w:themeColor="text1"/>
        </w:rPr>
        <w:t xml:space="preserve"> First, an individual directly or indirectly own</w:t>
      </w:r>
      <w:r w:rsidR="00B36D7A">
        <w:rPr>
          <w:rFonts w:cs="Times New Roman"/>
          <w:color w:val="000000" w:themeColor="text1"/>
        </w:rPr>
        <w:t>s</w:t>
      </w:r>
      <w:r w:rsidRPr="00032367">
        <w:rPr>
          <w:rFonts w:cs="Times New Roman"/>
          <w:color w:val="000000" w:themeColor="text1"/>
        </w:rPr>
        <w:t xml:space="preserve"> an entity or an interest in an insurance coverage entity.</w:t>
      </w:r>
      <w:r w:rsidRPr="00032367">
        <w:rPr>
          <w:rStyle w:val="FootnoteReference"/>
          <w:rFonts w:cs="Times New Roman"/>
          <w:color w:val="000000" w:themeColor="text1"/>
        </w:rPr>
        <w:footnoteReference w:id="61"/>
      </w:r>
      <w:r w:rsidRPr="00032367">
        <w:rPr>
          <w:rFonts w:cs="Times New Roman"/>
          <w:color w:val="000000" w:themeColor="text1"/>
        </w:rPr>
        <w:t xml:space="preserve"> Second, there exists a contract between the captive and the insured individual or company that owns the captive.</w:t>
      </w:r>
      <w:r w:rsidRPr="00032367">
        <w:rPr>
          <w:rStyle w:val="FootnoteReference"/>
          <w:rFonts w:cs="Times New Roman"/>
          <w:color w:val="000000" w:themeColor="text1"/>
        </w:rPr>
        <w:footnoteReference w:id="62"/>
      </w:r>
      <w:r w:rsidRPr="00032367">
        <w:rPr>
          <w:rFonts w:cs="Times New Roman"/>
          <w:color w:val="000000" w:themeColor="text1"/>
        </w:rPr>
        <w:t xml:space="preserve"> Third, the captive must elect under § 831(b) to be taxed solely on its investment income and not its underwritten income.</w:t>
      </w:r>
      <w:r w:rsidRPr="00032367">
        <w:rPr>
          <w:rStyle w:val="FootnoteReference"/>
          <w:rFonts w:cs="Times New Roman"/>
          <w:color w:val="000000" w:themeColor="text1"/>
        </w:rPr>
        <w:footnoteReference w:id="63"/>
      </w:r>
      <w:r w:rsidRPr="00032367">
        <w:rPr>
          <w:rFonts w:cs="Times New Roman"/>
          <w:color w:val="000000" w:themeColor="text1"/>
        </w:rPr>
        <w:t xml:space="preserve"> Fourth, the insured owns at least </w:t>
      </w:r>
      <w:r>
        <w:rPr>
          <w:rFonts w:cs="Times New Roman"/>
          <w:color w:val="000000" w:themeColor="text1"/>
        </w:rPr>
        <w:t>20%</w:t>
      </w:r>
      <w:r w:rsidRPr="00032367">
        <w:rPr>
          <w:rFonts w:cs="Times New Roman"/>
          <w:color w:val="000000" w:themeColor="text1"/>
        </w:rPr>
        <w:t xml:space="preserve"> of the voting power </w:t>
      </w:r>
      <w:r>
        <w:rPr>
          <w:rFonts w:cs="Times New Roman"/>
          <w:color w:val="000000" w:themeColor="text1"/>
        </w:rPr>
        <w:t>of</w:t>
      </w:r>
      <w:r w:rsidRPr="00032367">
        <w:rPr>
          <w:rFonts w:cs="Times New Roman"/>
          <w:color w:val="000000" w:themeColor="text1"/>
        </w:rPr>
        <w:t xml:space="preserve"> the outstanding </w:t>
      </w:r>
      <w:r>
        <w:rPr>
          <w:rFonts w:cs="Times New Roman"/>
          <w:color w:val="000000" w:themeColor="text1"/>
        </w:rPr>
        <w:t xml:space="preserve">micro-captive </w:t>
      </w:r>
      <w:r w:rsidRPr="00032367">
        <w:rPr>
          <w:rFonts w:cs="Times New Roman"/>
          <w:color w:val="000000" w:themeColor="text1"/>
        </w:rPr>
        <w:t>stock.</w:t>
      </w:r>
      <w:r w:rsidRPr="00032367">
        <w:rPr>
          <w:rStyle w:val="FootnoteReference"/>
          <w:rFonts w:cs="Times New Roman"/>
          <w:color w:val="000000" w:themeColor="text1"/>
        </w:rPr>
        <w:footnoteReference w:id="64"/>
      </w:r>
      <w:r w:rsidRPr="00032367">
        <w:rPr>
          <w:rFonts w:cs="Times New Roman"/>
          <w:color w:val="000000" w:themeColor="text1"/>
        </w:rPr>
        <w:t xml:space="preserve"> Finally, if the </w:t>
      </w:r>
      <w:r w:rsidR="00A46AE6">
        <w:rPr>
          <w:rFonts w:cs="Times New Roman"/>
          <w:color w:val="000000" w:themeColor="text1"/>
        </w:rPr>
        <w:t>c</w:t>
      </w:r>
      <w:r w:rsidRPr="00032367">
        <w:rPr>
          <w:rFonts w:cs="Times New Roman"/>
          <w:color w:val="000000" w:themeColor="text1"/>
        </w:rPr>
        <w:t>aptive’s most recent five taxable years is less than 70</w:t>
      </w:r>
      <w:r w:rsidR="00A46AE6">
        <w:rPr>
          <w:rFonts w:cs="Times New Roman"/>
          <w:color w:val="000000" w:themeColor="text1"/>
        </w:rPr>
        <w:t>%</w:t>
      </w:r>
      <w:r w:rsidRPr="00032367">
        <w:rPr>
          <w:rFonts w:cs="Times New Roman"/>
          <w:color w:val="000000" w:themeColor="text1"/>
        </w:rPr>
        <w:t xml:space="preserve"> of </w:t>
      </w:r>
      <w:r w:rsidR="00A46AE6">
        <w:rPr>
          <w:rFonts w:cs="Times New Roman"/>
          <w:color w:val="000000" w:themeColor="text1"/>
        </w:rPr>
        <w:t>c</w:t>
      </w:r>
      <w:r w:rsidRPr="00032367">
        <w:rPr>
          <w:rFonts w:cs="Times New Roman"/>
          <w:color w:val="000000" w:themeColor="text1"/>
        </w:rPr>
        <w:t>aptive’s premiums earned</w:t>
      </w:r>
      <w:r w:rsidR="00A46AE6">
        <w:rPr>
          <w:rFonts w:cs="Times New Roman"/>
          <w:color w:val="000000" w:themeColor="text1"/>
        </w:rPr>
        <w:t>,</w:t>
      </w:r>
      <w:r w:rsidRPr="00032367">
        <w:rPr>
          <w:rFonts w:cs="Times New Roman"/>
          <w:color w:val="000000" w:themeColor="text1"/>
        </w:rPr>
        <w:t xml:space="preserve"> or the captive used a loan or guarantee to the insured, this would likely be an </w:t>
      </w:r>
      <w:r w:rsidRPr="00032367">
        <w:rPr>
          <w:rFonts w:cs="Times New Roman"/>
          <w:color w:val="000000" w:themeColor="text1"/>
        </w:rPr>
        <w:lastRenderedPageBreak/>
        <w:t>abusive micro-captive transaction.</w:t>
      </w:r>
      <w:r w:rsidRPr="00032367">
        <w:rPr>
          <w:rStyle w:val="FootnoteReference"/>
          <w:rFonts w:cs="Times New Roman"/>
          <w:color w:val="000000" w:themeColor="text1"/>
        </w:rPr>
        <w:footnoteReference w:id="65"/>
      </w:r>
      <w:r w:rsidRPr="00032367">
        <w:rPr>
          <w:rFonts w:cs="Times New Roman"/>
          <w:color w:val="000000" w:themeColor="text1"/>
        </w:rPr>
        <w:t xml:space="preserve"> If the captive has been in existence for less than </w:t>
      </w:r>
      <w:r w:rsidR="00B36D7A">
        <w:rPr>
          <w:rFonts w:cs="Times New Roman"/>
          <w:color w:val="000000" w:themeColor="text1"/>
        </w:rPr>
        <w:t>five</w:t>
      </w:r>
      <w:r w:rsidRPr="00032367">
        <w:rPr>
          <w:rFonts w:cs="Times New Roman"/>
          <w:color w:val="000000" w:themeColor="text1"/>
        </w:rPr>
        <w:t xml:space="preserve"> taxable years, the </w:t>
      </w:r>
      <w:r>
        <w:rPr>
          <w:rFonts w:cs="Times New Roman"/>
          <w:color w:val="000000" w:themeColor="text1"/>
        </w:rPr>
        <w:t xml:space="preserve">70% </w:t>
      </w:r>
      <w:r w:rsidRPr="00032367">
        <w:rPr>
          <w:rFonts w:cs="Times New Roman"/>
          <w:color w:val="000000" w:themeColor="text1"/>
        </w:rPr>
        <w:t xml:space="preserve">rule would apply to the entire period of the </w:t>
      </w:r>
      <w:r>
        <w:rPr>
          <w:rFonts w:cs="Times New Roman"/>
          <w:color w:val="000000" w:themeColor="text1"/>
        </w:rPr>
        <w:t>micro-</w:t>
      </w:r>
      <w:r w:rsidRPr="00032367">
        <w:rPr>
          <w:rFonts w:cs="Times New Roman"/>
          <w:color w:val="000000" w:themeColor="text1"/>
        </w:rPr>
        <w:t>captive’s existence.</w:t>
      </w:r>
      <w:r w:rsidRPr="00032367">
        <w:rPr>
          <w:rStyle w:val="FootnoteReference"/>
          <w:rFonts w:cs="Times New Roman"/>
          <w:color w:val="000000" w:themeColor="text1"/>
        </w:rPr>
        <w:footnoteReference w:id="66"/>
      </w:r>
    </w:p>
    <w:p w14:paraId="10ABDD5E" w14:textId="77777777" w:rsidR="005B517A" w:rsidRDefault="005B517A" w:rsidP="00CF290D">
      <w:pPr>
        <w:rPr>
          <w:rFonts w:cs="Times New Roman"/>
          <w:color w:val="000000" w:themeColor="text1"/>
        </w:rPr>
      </w:pPr>
      <w:r w:rsidRPr="00032367">
        <w:rPr>
          <w:rFonts w:cs="Times New Roman"/>
          <w:color w:val="000000" w:themeColor="text1"/>
        </w:rPr>
        <w:t>In addition to the above factors, IRS also looks at the contract coverage.</w:t>
      </w:r>
      <w:r w:rsidRPr="00032367">
        <w:rPr>
          <w:rStyle w:val="FootnoteReference"/>
          <w:rFonts w:cs="Times New Roman"/>
          <w:color w:val="000000" w:themeColor="text1"/>
        </w:rPr>
        <w:footnoteReference w:id="67"/>
      </w:r>
      <w:r w:rsidRPr="00032367">
        <w:rPr>
          <w:rFonts w:cs="Times New Roman"/>
          <w:color w:val="000000" w:themeColor="text1"/>
        </w:rPr>
        <w:t xml:space="preserve"> The IRS noted several characteristics that could signify that a micro-captive transaction was acting as a tax avoidance transaction by looking at the contract coverage.</w:t>
      </w:r>
      <w:r w:rsidRPr="00032367">
        <w:rPr>
          <w:rStyle w:val="FootnoteReference"/>
          <w:rFonts w:cs="Times New Roman"/>
          <w:color w:val="000000" w:themeColor="text1"/>
        </w:rPr>
        <w:footnoteReference w:id="68"/>
      </w:r>
      <w:r w:rsidRPr="00032367">
        <w:rPr>
          <w:rFonts w:cs="Times New Roman"/>
          <w:color w:val="000000" w:themeColor="text1"/>
        </w:rPr>
        <w:t xml:space="preserve"> The IRS discussed the following type of coverage issues that could arise:</w:t>
      </w:r>
    </w:p>
    <w:p w14:paraId="2C581E8A" w14:textId="77777777" w:rsidR="005B517A" w:rsidRPr="00032367" w:rsidRDefault="005B517A" w:rsidP="000B33A6">
      <w:pPr>
        <w:pStyle w:val="Quote"/>
      </w:pPr>
      <w:r w:rsidRPr="00032367">
        <w:t>(1) the coverage involves an implausible risk; (2) the coverage does not match a business need or risk of Insured; (3) the description of the scope of the coverage in the Contract is vague, ambiguous, or illusory; or (4) the coverage duplicates coverage provided to Insured by an unrelated, commercial insurance company, and the policy with the commercial insurer often has a far smaller premium.</w:t>
      </w:r>
      <w:r w:rsidRPr="00032367">
        <w:rPr>
          <w:rStyle w:val="FootnoteReference"/>
          <w:rFonts w:cs="Times New Roman"/>
          <w:color w:val="000000" w:themeColor="text1"/>
        </w:rPr>
        <w:footnoteReference w:id="69"/>
      </w:r>
    </w:p>
    <w:p w14:paraId="2FD7111E" w14:textId="77777777" w:rsidR="005B517A" w:rsidRPr="00032367" w:rsidRDefault="005B517A" w:rsidP="00357836">
      <w:pPr>
        <w:ind w:firstLine="0"/>
        <w:rPr>
          <w:rFonts w:cs="Times New Roman"/>
          <w:color w:val="000000" w:themeColor="text1"/>
        </w:rPr>
      </w:pPr>
      <w:r w:rsidRPr="00032367">
        <w:rPr>
          <w:rFonts w:cs="Times New Roman"/>
          <w:color w:val="000000" w:themeColor="text1"/>
        </w:rPr>
        <w:t>If a participant has any one of the above characteristics, the IRS likely would consider it to be an abusive reportable transaction.</w:t>
      </w:r>
      <w:r w:rsidRPr="00032367">
        <w:rPr>
          <w:rStyle w:val="FootnoteReference"/>
          <w:rFonts w:cs="Times New Roman"/>
          <w:color w:val="000000" w:themeColor="text1"/>
        </w:rPr>
        <w:footnoteReference w:id="70"/>
      </w:r>
    </w:p>
    <w:p w14:paraId="68B868F6" w14:textId="77777777" w:rsidR="005B517A" w:rsidRPr="0010578B" w:rsidRDefault="005B517A" w:rsidP="00CC2D68">
      <w:pPr>
        <w:pStyle w:val="Heading3"/>
        <w:rPr>
          <w:i w:val="0"/>
        </w:rPr>
      </w:pPr>
      <w:bookmarkStart w:id="15" w:name="_Toc158623000"/>
      <w:r w:rsidRPr="00CC2D68">
        <w:t>What</w:t>
      </w:r>
      <w:r w:rsidRPr="0010578B">
        <w:t xml:space="preserve"> Must be Disclosed?</w:t>
      </w:r>
      <w:bookmarkEnd w:id="15"/>
    </w:p>
    <w:p w14:paraId="059FA6FF" w14:textId="77777777" w:rsidR="005B517A" w:rsidRPr="00032367" w:rsidRDefault="005B517A" w:rsidP="00CF290D">
      <w:pPr>
        <w:rPr>
          <w:rFonts w:cs="Times New Roman"/>
          <w:color w:val="000000" w:themeColor="text1"/>
        </w:rPr>
      </w:pPr>
      <w:r w:rsidRPr="00032367">
        <w:rPr>
          <w:rFonts w:cs="Times New Roman"/>
          <w:color w:val="000000" w:themeColor="text1"/>
        </w:rPr>
        <w:t xml:space="preserve">The general rule is that all </w:t>
      </w:r>
      <w:r>
        <w:rPr>
          <w:rFonts w:cs="Times New Roman"/>
          <w:color w:val="000000" w:themeColor="text1"/>
        </w:rPr>
        <w:t>micro-</w:t>
      </w:r>
      <w:r w:rsidRPr="00032367">
        <w:rPr>
          <w:rFonts w:cs="Times New Roman"/>
          <w:color w:val="000000" w:themeColor="text1"/>
        </w:rPr>
        <w:t>captive participants must use Form 8886 to “identify and describe the transaction in sufficient detail” to help alleviate any confusion for the IRS in determining whether this is an abusive transaction.</w:t>
      </w:r>
      <w:r w:rsidRPr="00032367">
        <w:rPr>
          <w:rStyle w:val="FootnoteReference"/>
          <w:rFonts w:cs="Times New Roman"/>
          <w:color w:val="000000" w:themeColor="text1"/>
        </w:rPr>
        <w:footnoteReference w:id="71"/>
      </w:r>
      <w:r w:rsidRPr="00032367">
        <w:rPr>
          <w:rFonts w:cs="Times New Roman"/>
          <w:color w:val="000000" w:themeColor="text1"/>
        </w:rPr>
        <w:t xml:space="preserve"> This information would include the tax structure and all the participants involved in the transaction.</w:t>
      </w:r>
      <w:r w:rsidRPr="00032367">
        <w:rPr>
          <w:rStyle w:val="FootnoteReference"/>
          <w:rFonts w:cs="Times New Roman"/>
          <w:color w:val="000000" w:themeColor="text1"/>
        </w:rPr>
        <w:footnoteReference w:id="72"/>
      </w:r>
      <w:r w:rsidRPr="00032367">
        <w:rPr>
          <w:rFonts w:cs="Times New Roman"/>
          <w:color w:val="000000" w:themeColor="text1"/>
        </w:rPr>
        <w:t xml:space="preserve"> </w:t>
      </w:r>
    </w:p>
    <w:p w14:paraId="58D64141" w14:textId="088CD63B" w:rsidR="005B517A" w:rsidRPr="00032367" w:rsidRDefault="005B517A" w:rsidP="00357836">
      <w:pPr>
        <w:rPr>
          <w:rFonts w:cs="Times New Roman"/>
          <w:color w:val="000000" w:themeColor="text1"/>
        </w:rPr>
      </w:pPr>
      <w:r>
        <w:rPr>
          <w:rFonts w:cs="Times New Roman"/>
          <w:color w:val="000000" w:themeColor="text1"/>
        </w:rPr>
        <w:t>Micro-c</w:t>
      </w:r>
      <w:r w:rsidRPr="00032367">
        <w:rPr>
          <w:rFonts w:cs="Times New Roman"/>
          <w:color w:val="000000" w:themeColor="text1"/>
        </w:rPr>
        <w:t xml:space="preserve">aptives must provide “whether </w:t>
      </w:r>
      <w:r w:rsidR="00375E05">
        <w:rPr>
          <w:rFonts w:cs="Times New Roman"/>
          <w:color w:val="000000" w:themeColor="text1"/>
        </w:rPr>
        <w:t>[</w:t>
      </w:r>
      <w:r w:rsidRPr="00032367">
        <w:rPr>
          <w:rFonts w:cs="Times New Roman"/>
          <w:color w:val="000000" w:themeColor="text1"/>
        </w:rPr>
        <w:t>the</w:t>
      </w:r>
      <w:r w:rsidR="00375E05">
        <w:rPr>
          <w:rFonts w:cs="Times New Roman"/>
          <w:color w:val="000000" w:themeColor="text1"/>
        </w:rPr>
        <w:t>]</w:t>
      </w:r>
      <w:r w:rsidRPr="00032367">
        <w:rPr>
          <w:rFonts w:cs="Times New Roman"/>
          <w:color w:val="000000" w:themeColor="text1"/>
        </w:rPr>
        <w:t xml:space="preserve"> Captive is reporting because”</w:t>
      </w:r>
      <w:r>
        <w:rPr>
          <w:rFonts w:cs="Times New Roman"/>
          <w:color w:val="000000" w:themeColor="text1"/>
        </w:rPr>
        <w:t>:</w:t>
      </w:r>
      <w:r w:rsidRPr="00032367">
        <w:rPr>
          <w:rFonts w:cs="Times New Roman"/>
          <w:color w:val="000000" w:themeColor="text1"/>
        </w:rPr>
        <w:t xml:space="preserve"> (1) the </w:t>
      </w:r>
      <w:r>
        <w:rPr>
          <w:rFonts w:cs="Times New Roman"/>
          <w:color w:val="000000" w:themeColor="text1"/>
        </w:rPr>
        <w:t>micro-</w:t>
      </w:r>
      <w:r w:rsidRPr="00032367">
        <w:rPr>
          <w:rFonts w:cs="Times New Roman"/>
          <w:color w:val="000000" w:themeColor="text1"/>
        </w:rPr>
        <w:t>captive failed the 70% low ratio factor</w:t>
      </w:r>
      <w:r>
        <w:rPr>
          <w:rFonts w:cs="Times New Roman"/>
          <w:color w:val="000000" w:themeColor="text1"/>
        </w:rPr>
        <w:t>;</w:t>
      </w:r>
      <w:r w:rsidRPr="00032367">
        <w:rPr>
          <w:rFonts w:cs="Times New Roman"/>
          <w:color w:val="000000" w:themeColor="text1"/>
        </w:rPr>
        <w:t xml:space="preserve"> or (2) the </w:t>
      </w:r>
      <w:r>
        <w:rPr>
          <w:rFonts w:cs="Times New Roman"/>
          <w:color w:val="000000" w:themeColor="text1"/>
        </w:rPr>
        <w:t>micro-</w:t>
      </w:r>
      <w:r w:rsidRPr="00032367">
        <w:rPr>
          <w:rFonts w:cs="Times New Roman"/>
          <w:color w:val="000000" w:themeColor="text1"/>
        </w:rPr>
        <w:t xml:space="preserve">captive provided benefits by financing to an </w:t>
      </w:r>
      <w:r>
        <w:rPr>
          <w:rFonts w:cs="Times New Roman"/>
          <w:color w:val="000000" w:themeColor="text1"/>
        </w:rPr>
        <w:t>i</w:t>
      </w:r>
      <w:r w:rsidRPr="00032367">
        <w:rPr>
          <w:rFonts w:cs="Times New Roman"/>
          <w:color w:val="000000" w:themeColor="text1"/>
        </w:rPr>
        <w:t>nsured through a loan, guarantee, or transfer</w:t>
      </w:r>
      <w:r>
        <w:rPr>
          <w:rFonts w:cs="Times New Roman"/>
          <w:color w:val="000000" w:themeColor="text1"/>
        </w:rPr>
        <w:t>;</w:t>
      </w:r>
      <w:r w:rsidRPr="00032367">
        <w:rPr>
          <w:rFonts w:cs="Times New Roman"/>
          <w:color w:val="000000" w:themeColor="text1"/>
        </w:rPr>
        <w:t xml:space="preserve"> or </w:t>
      </w:r>
      <w:r>
        <w:rPr>
          <w:rFonts w:cs="Times New Roman"/>
          <w:color w:val="000000" w:themeColor="text1"/>
        </w:rPr>
        <w:t xml:space="preserve">(3) </w:t>
      </w:r>
      <w:r w:rsidRPr="00032367">
        <w:rPr>
          <w:rFonts w:cs="Times New Roman"/>
          <w:color w:val="000000" w:themeColor="text1"/>
        </w:rPr>
        <w:t>both (1) and (2) are met.</w:t>
      </w:r>
      <w:r w:rsidRPr="00032367">
        <w:rPr>
          <w:rStyle w:val="FootnoteReference"/>
          <w:rFonts w:cs="Times New Roman"/>
          <w:color w:val="000000" w:themeColor="text1"/>
        </w:rPr>
        <w:footnoteReference w:id="73"/>
      </w:r>
      <w:r w:rsidRPr="00032367">
        <w:rPr>
          <w:rFonts w:cs="Times New Roman"/>
          <w:color w:val="000000" w:themeColor="text1"/>
        </w:rPr>
        <w:t xml:space="preserve"> The </w:t>
      </w:r>
      <w:r>
        <w:rPr>
          <w:rFonts w:cs="Times New Roman"/>
          <w:color w:val="000000" w:themeColor="text1"/>
        </w:rPr>
        <w:t>micro-</w:t>
      </w:r>
      <w:r w:rsidRPr="00032367">
        <w:rPr>
          <w:rFonts w:cs="Times New Roman"/>
          <w:color w:val="000000" w:themeColor="text1"/>
        </w:rPr>
        <w:t xml:space="preserve">captive must also provide information regarding: (1) under what authority the </w:t>
      </w:r>
      <w:r>
        <w:rPr>
          <w:rFonts w:cs="Times New Roman"/>
          <w:color w:val="000000" w:themeColor="text1"/>
        </w:rPr>
        <w:t>micro-</w:t>
      </w:r>
      <w:r w:rsidRPr="00032367">
        <w:rPr>
          <w:rFonts w:cs="Times New Roman"/>
          <w:color w:val="000000" w:themeColor="text1"/>
        </w:rPr>
        <w:t xml:space="preserve">captive is chartered; (2) descriptions of the type of coverage provided by </w:t>
      </w:r>
      <w:r>
        <w:rPr>
          <w:rFonts w:cs="Times New Roman"/>
          <w:color w:val="000000" w:themeColor="text1"/>
        </w:rPr>
        <w:t>the micro-</w:t>
      </w:r>
      <w:r w:rsidRPr="00032367">
        <w:rPr>
          <w:rFonts w:cs="Times New Roman"/>
          <w:color w:val="000000" w:themeColor="text1"/>
        </w:rPr>
        <w:t xml:space="preserve">captive during the years of participations; (3) an explanation of how the </w:t>
      </w:r>
      <w:r>
        <w:rPr>
          <w:rFonts w:cs="Times New Roman"/>
          <w:color w:val="000000" w:themeColor="text1"/>
        </w:rPr>
        <w:lastRenderedPageBreak/>
        <w:t>micro-</w:t>
      </w:r>
      <w:r w:rsidRPr="00032367">
        <w:rPr>
          <w:rFonts w:cs="Times New Roman"/>
          <w:color w:val="000000" w:themeColor="text1"/>
        </w:rPr>
        <w:t xml:space="preserve">captive determined how much premium is to be paid for each coverage; (4) a report of claims paid; and (5) a description of any assets the </w:t>
      </w:r>
      <w:r>
        <w:rPr>
          <w:rFonts w:cs="Times New Roman"/>
          <w:color w:val="000000" w:themeColor="text1"/>
        </w:rPr>
        <w:t>micro-</w:t>
      </w:r>
      <w:r w:rsidRPr="00032367">
        <w:rPr>
          <w:rFonts w:cs="Times New Roman"/>
          <w:color w:val="000000" w:themeColor="text1"/>
        </w:rPr>
        <w:t>captive held.</w:t>
      </w:r>
      <w:r>
        <w:rPr>
          <w:rStyle w:val="FootnoteReference"/>
          <w:rFonts w:cs="Times New Roman"/>
          <w:color w:val="000000" w:themeColor="text1"/>
        </w:rPr>
        <w:footnoteReference w:id="74"/>
      </w:r>
      <w:r w:rsidRPr="00032367">
        <w:rPr>
          <w:rFonts w:cs="Times New Roman"/>
          <w:color w:val="000000" w:themeColor="text1"/>
        </w:rPr>
        <w:t xml:space="preserve"> The discloser must provide all this information for each year of the </w:t>
      </w:r>
      <w:r>
        <w:rPr>
          <w:rFonts w:cs="Times New Roman"/>
          <w:color w:val="000000" w:themeColor="text1"/>
        </w:rPr>
        <w:t>micro-</w:t>
      </w:r>
      <w:r w:rsidRPr="00032367">
        <w:rPr>
          <w:rFonts w:cs="Times New Roman"/>
          <w:color w:val="000000" w:themeColor="text1"/>
        </w:rPr>
        <w:t>captive’s existence.</w:t>
      </w:r>
      <w:r w:rsidRPr="00032367">
        <w:rPr>
          <w:rStyle w:val="FootnoteReference"/>
          <w:rFonts w:cs="Times New Roman"/>
          <w:color w:val="000000" w:themeColor="text1"/>
        </w:rPr>
        <w:footnoteReference w:id="75"/>
      </w:r>
      <w:r w:rsidRPr="00032367">
        <w:rPr>
          <w:rFonts w:cs="Times New Roman"/>
          <w:color w:val="000000" w:themeColor="text1"/>
        </w:rPr>
        <w:t xml:space="preserve"> Procedurally, all this information must be disclosed by attaching Form 8886 to its tax return for each year of the </w:t>
      </w:r>
      <w:r>
        <w:rPr>
          <w:rFonts w:cs="Times New Roman"/>
          <w:color w:val="000000" w:themeColor="text1"/>
        </w:rPr>
        <w:t>micro-</w:t>
      </w:r>
      <w:r w:rsidRPr="00032367">
        <w:rPr>
          <w:rFonts w:cs="Times New Roman"/>
          <w:color w:val="000000" w:themeColor="text1"/>
        </w:rPr>
        <w:t>captive’s existence.</w:t>
      </w:r>
      <w:r w:rsidRPr="00032367">
        <w:rPr>
          <w:rStyle w:val="FootnoteReference"/>
          <w:rFonts w:cs="Times New Roman"/>
          <w:color w:val="000000" w:themeColor="text1"/>
        </w:rPr>
        <w:footnoteReference w:id="76"/>
      </w:r>
      <w:r w:rsidRPr="00032367">
        <w:rPr>
          <w:rFonts w:cs="Times New Roman"/>
          <w:color w:val="000000" w:themeColor="text1"/>
        </w:rPr>
        <w:t xml:space="preserve"> The taxpayer would also send this disclosure statement to the Office of Tax Shelter Analysis.</w:t>
      </w:r>
      <w:r w:rsidRPr="00032367">
        <w:rPr>
          <w:rStyle w:val="FootnoteReference"/>
          <w:rFonts w:cs="Times New Roman"/>
          <w:color w:val="000000" w:themeColor="text1"/>
        </w:rPr>
        <w:footnoteReference w:id="77"/>
      </w:r>
      <w:r w:rsidRPr="00032367">
        <w:rPr>
          <w:rFonts w:cs="Times New Roman"/>
          <w:color w:val="000000" w:themeColor="text1"/>
        </w:rPr>
        <w:t xml:space="preserve"> </w:t>
      </w:r>
    </w:p>
    <w:p w14:paraId="2E92326E" w14:textId="77777777" w:rsidR="005B517A" w:rsidRPr="00DE6D49" w:rsidRDefault="005B517A" w:rsidP="00CC2D68">
      <w:pPr>
        <w:pStyle w:val="Heading3"/>
        <w:rPr>
          <w:i w:val="0"/>
        </w:rPr>
      </w:pPr>
      <w:bookmarkStart w:id="16" w:name="_Toc158623001"/>
      <w:r w:rsidRPr="00DE6D49">
        <w:t>Penalties for Failure to Disclose</w:t>
      </w:r>
      <w:bookmarkEnd w:id="16"/>
    </w:p>
    <w:p w14:paraId="39A57B4E" w14:textId="232F3FDC" w:rsidR="005B517A" w:rsidRPr="00032367" w:rsidRDefault="005B517A" w:rsidP="00CF290D">
      <w:pPr>
        <w:rPr>
          <w:rFonts w:cs="Times New Roman"/>
          <w:color w:val="000000" w:themeColor="text1"/>
        </w:rPr>
      </w:pPr>
      <w:r w:rsidRPr="00032367">
        <w:rPr>
          <w:rFonts w:cs="Times New Roman"/>
          <w:color w:val="000000" w:themeColor="text1"/>
        </w:rPr>
        <w:t>Taxpayers and material advisors who failed to comply with these disclosure requirements regarding micro-captive</w:t>
      </w:r>
      <w:r w:rsidR="00B36D7A">
        <w:rPr>
          <w:rFonts w:cs="Times New Roman"/>
          <w:color w:val="000000" w:themeColor="text1"/>
        </w:rPr>
        <w:t>s</w:t>
      </w:r>
      <w:r w:rsidRPr="00032367">
        <w:rPr>
          <w:rFonts w:cs="Times New Roman"/>
          <w:color w:val="000000" w:themeColor="text1"/>
        </w:rPr>
        <w:t xml:space="preserve"> </w:t>
      </w:r>
      <w:r>
        <w:rPr>
          <w:rFonts w:cs="Times New Roman"/>
          <w:color w:val="000000" w:themeColor="text1"/>
        </w:rPr>
        <w:t>that are</w:t>
      </w:r>
      <w:r w:rsidRPr="00032367">
        <w:rPr>
          <w:rFonts w:cs="Times New Roman"/>
          <w:color w:val="000000" w:themeColor="text1"/>
        </w:rPr>
        <w:t xml:space="preserve"> transactions of interest would be subject to penalties.</w:t>
      </w:r>
      <w:r w:rsidRPr="00032367">
        <w:rPr>
          <w:rStyle w:val="FootnoteReference"/>
          <w:rFonts w:cs="Times New Roman"/>
          <w:color w:val="000000" w:themeColor="text1"/>
        </w:rPr>
        <w:footnoteReference w:id="78"/>
      </w:r>
      <w:r w:rsidRPr="00032367">
        <w:rPr>
          <w:rFonts w:cs="Times New Roman"/>
          <w:color w:val="000000" w:themeColor="text1"/>
        </w:rPr>
        <w:t xml:space="preserve"> For failing to disclose a transaction of interest, corporate taxpayers would face a maximum fine of $50,000, while individual taxpayers would face a maximum fine of $10,000.</w:t>
      </w:r>
      <w:r w:rsidRPr="00032367">
        <w:rPr>
          <w:rStyle w:val="FootnoteReference"/>
          <w:rFonts w:cs="Times New Roman"/>
          <w:color w:val="000000" w:themeColor="text1"/>
        </w:rPr>
        <w:footnoteReference w:id="79"/>
      </w:r>
      <w:r w:rsidRPr="00032367">
        <w:rPr>
          <w:rFonts w:cs="Times New Roman"/>
          <w:color w:val="000000" w:themeColor="text1"/>
        </w:rPr>
        <w:t xml:space="preserve"> The IRS could also impose additional penalties on a taxpayer, such as an accuracy-related penalty equal to 20% of the underpayment.</w:t>
      </w:r>
      <w:r w:rsidRPr="00032367">
        <w:rPr>
          <w:rStyle w:val="FootnoteReference"/>
          <w:rFonts w:cs="Times New Roman"/>
          <w:color w:val="000000" w:themeColor="text1"/>
        </w:rPr>
        <w:footnoteReference w:id="80"/>
      </w:r>
      <w:r w:rsidRPr="00032367">
        <w:rPr>
          <w:rFonts w:cs="Times New Roman"/>
          <w:color w:val="000000" w:themeColor="text1"/>
        </w:rPr>
        <w:t xml:space="preserve"> For example, if a taxpayer failed to accurately relay information regarding a transaction creating $100,000 in income but submitted a tax form for only $10,000, the understatement would be $90,000. The IRS’</w:t>
      </w:r>
      <w:r w:rsidR="00375E05">
        <w:rPr>
          <w:rFonts w:cs="Times New Roman"/>
          <w:color w:val="000000" w:themeColor="text1"/>
        </w:rPr>
        <w:t>s</w:t>
      </w:r>
      <w:r w:rsidRPr="00032367">
        <w:rPr>
          <w:rFonts w:cs="Times New Roman"/>
          <w:color w:val="000000" w:themeColor="text1"/>
        </w:rPr>
        <w:t xml:space="preserve"> accuracy-related penalty of 20% of $90,000 would thus create an additional fine of $18,000. </w:t>
      </w:r>
    </w:p>
    <w:p w14:paraId="1C7834E8" w14:textId="35B84E77" w:rsidR="005B517A" w:rsidRPr="00032367" w:rsidRDefault="005B517A" w:rsidP="00CF290D">
      <w:pPr>
        <w:rPr>
          <w:rFonts w:cs="Times New Roman"/>
          <w:color w:val="000000" w:themeColor="text1"/>
        </w:rPr>
      </w:pPr>
      <w:r w:rsidRPr="00032367">
        <w:rPr>
          <w:rFonts w:cs="Times New Roman"/>
          <w:color w:val="000000" w:themeColor="text1"/>
        </w:rPr>
        <w:t>Further, material advisors may be subject to additional penalties.</w:t>
      </w:r>
      <w:r w:rsidRPr="00032367">
        <w:rPr>
          <w:rStyle w:val="FootnoteReference"/>
          <w:rFonts w:cs="Times New Roman"/>
          <w:color w:val="000000" w:themeColor="text1"/>
        </w:rPr>
        <w:footnoteReference w:id="81"/>
      </w:r>
      <w:r w:rsidRPr="00032367">
        <w:rPr>
          <w:rFonts w:cs="Times New Roman"/>
          <w:color w:val="000000" w:themeColor="text1"/>
        </w:rPr>
        <w:t xml:space="preserve"> Material advisors who failed to file or furnish information regarding a transaction of interest could face a penalty of $50,000.</w:t>
      </w:r>
      <w:r w:rsidRPr="00032367">
        <w:rPr>
          <w:rStyle w:val="FootnoteReference"/>
          <w:rFonts w:cs="Times New Roman"/>
          <w:color w:val="000000" w:themeColor="text1"/>
        </w:rPr>
        <w:footnoteReference w:id="82"/>
      </w:r>
      <w:r w:rsidRPr="00032367">
        <w:rPr>
          <w:rFonts w:cs="Times New Roman"/>
          <w:color w:val="000000" w:themeColor="text1"/>
        </w:rPr>
        <w:t xml:space="preserve"> Additionally, the Secretary could request a written list of advisees from a material advisor.</w:t>
      </w:r>
      <w:r w:rsidRPr="00032367">
        <w:rPr>
          <w:rStyle w:val="FootnoteReference"/>
          <w:rFonts w:cs="Times New Roman"/>
          <w:color w:val="000000" w:themeColor="text1"/>
        </w:rPr>
        <w:footnoteReference w:id="83"/>
      </w:r>
      <w:r w:rsidRPr="00032367">
        <w:rPr>
          <w:rFonts w:cs="Times New Roman"/>
          <w:color w:val="000000" w:themeColor="text1"/>
        </w:rPr>
        <w:t xml:space="preserve"> If a material advisor failed to submit the advisee list within </w:t>
      </w:r>
      <w:r w:rsidR="00B36D7A">
        <w:rPr>
          <w:rFonts w:cs="Times New Roman"/>
          <w:color w:val="000000" w:themeColor="text1"/>
        </w:rPr>
        <w:t>twenty</w:t>
      </w:r>
      <w:r w:rsidRPr="00032367">
        <w:rPr>
          <w:rFonts w:cs="Times New Roman"/>
          <w:color w:val="000000" w:themeColor="text1"/>
        </w:rPr>
        <w:t xml:space="preserve"> days of the Secretary’s written request, the material advisor would face an additional $10,000 </w:t>
      </w:r>
      <w:r>
        <w:rPr>
          <w:rFonts w:cs="Times New Roman"/>
          <w:color w:val="000000" w:themeColor="text1"/>
        </w:rPr>
        <w:t>penalty</w:t>
      </w:r>
      <w:r w:rsidRPr="00032367">
        <w:rPr>
          <w:rFonts w:cs="Times New Roman"/>
          <w:color w:val="000000" w:themeColor="text1"/>
        </w:rPr>
        <w:t xml:space="preserve"> for each day missed after the initial </w:t>
      </w:r>
      <w:r w:rsidR="00B36D7A">
        <w:rPr>
          <w:rFonts w:cs="Times New Roman"/>
          <w:color w:val="000000" w:themeColor="text1"/>
        </w:rPr>
        <w:t>twenty</w:t>
      </w:r>
      <w:r w:rsidRPr="00032367">
        <w:rPr>
          <w:rFonts w:cs="Times New Roman"/>
          <w:color w:val="000000" w:themeColor="text1"/>
        </w:rPr>
        <w:t>-day period.</w:t>
      </w:r>
      <w:r w:rsidRPr="00032367">
        <w:rPr>
          <w:rStyle w:val="FootnoteReference"/>
          <w:rFonts w:cs="Times New Roman"/>
          <w:color w:val="000000" w:themeColor="text1"/>
        </w:rPr>
        <w:footnoteReference w:id="84"/>
      </w:r>
      <w:r w:rsidRPr="00032367">
        <w:rPr>
          <w:rFonts w:cs="Times New Roman"/>
          <w:color w:val="000000" w:themeColor="text1"/>
        </w:rPr>
        <w:t xml:space="preserve"> </w:t>
      </w:r>
    </w:p>
    <w:p w14:paraId="4A926C64" w14:textId="77777777" w:rsidR="005B517A" w:rsidRPr="00292E99" w:rsidRDefault="005B517A" w:rsidP="00CC2D68">
      <w:pPr>
        <w:pStyle w:val="Heading2"/>
      </w:pPr>
      <w:bookmarkStart w:id="17" w:name="_Ref146972437"/>
      <w:bookmarkStart w:id="18" w:name="_Toc158623002"/>
      <w:r w:rsidRPr="00CC2D68">
        <w:lastRenderedPageBreak/>
        <w:t>Taxpayer’s</w:t>
      </w:r>
      <w:r w:rsidRPr="00292E99">
        <w:t xml:space="preserve"> Main Issue with Notice 2016-66</w:t>
      </w:r>
      <w:bookmarkEnd w:id="17"/>
      <w:bookmarkEnd w:id="18"/>
    </w:p>
    <w:p w14:paraId="6E551670" w14:textId="7AA704B1" w:rsidR="005B517A" w:rsidRPr="00032367" w:rsidRDefault="005B517A" w:rsidP="00CF290D">
      <w:pPr>
        <w:rPr>
          <w:rFonts w:cs="Times New Roman"/>
          <w:color w:val="000000" w:themeColor="text1"/>
        </w:rPr>
      </w:pPr>
      <w:r w:rsidRPr="00032367">
        <w:rPr>
          <w:rFonts w:cs="Times New Roman"/>
          <w:color w:val="000000" w:themeColor="text1"/>
        </w:rPr>
        <w:t xml:space="preserve">Many </w:t>
      </w:r>
      <w:r>
        <w:rPr>
          <w:rFonts w:cs="Times New Roman"/>
          <w:color w:val="000000" w:themeColor="text1"/>
        </w:rPr>
        <w:t>micro-</w:t>
      </w:r>
      <w:r w:rsidRPr="00032367">
        <w:rPr>
          <w:rFonts w:cs="Times New Roman"/>
          <w:color w:val="000000" w:themeColor="text1"/>
        </w:rPr>
        <w:t>captive participants were perplexed by Notice 2016-66.</w:t>
      </w:r>
      <w:r w:rsidRPr="00032367">
        <w:rPr>
          <w:rStyle w:val="FootnoteReference"/>
          <w:rFonts w:cs="Times New Roman"/>
          <w:color w:val="000000" w:themeColor="text1"/>
        </w:rPr>
        <w:footnoteReference w:id="85"/>
      </w:r>
      <w:r w:rsidRPr="00032367">
        <w:rPr>
          <w:rFonts w:cs="Times New Roman"/>
          <w:color w:val="000000" w:themeColor="text1"/>
        </w:rPr>
        <w:t xml:space="preserve"> Participants felt the IRS had not given clear guidelines to differentiate abusive from legitimate transactions.</w:t>
      </w:r>
      <w:r w:rsidRPr="00032367">
        <w:rPr>
          <w:rStyle w:val="FootnoteReference"/>
          <w:rFonts w:cs="Times New Roman"/>
          <w:color w:val="000000" w:themeColor="text1"/>
        </w:rPr>
        <w:footnoteReference w:id="86"/>
      </w:r>
      <w:r w:rsidRPr="00032367">
        <w:rPr>
          <w:rFonts w:cs="Times New Roman"/>
          <w:color w:val="000000" w:themeColor="text1"/>
        </w:rPr>
        <w:t xml:space="preserve"> Many of the Notice’s guidelines seemed to implicate legitimate transactions.</w:t>
      </w:r>
      <w:r w:rsidRPr="00032367">
        <w:rPr>
          <w:rStyle w:val="FootnoteReference"/>
          <w:rFonts w:cs="Times New Roman"/>
          <w:color w:val="000000" w:themeColor="text1"/>
        </w:rPr>
        <w:footnoteReference w:id="87"/>
      </w:r>
      <w:r w:rsidRPr="00032367">
        <w:rPr>
          <w:rFonts w:cs="Times New Roman"/>
          <w:color w:val="000000" w:themeColor="text1"/>
        </w:rPr>
        <w:t xml:space="preserve"> In particular, there was little guidance on the breadth of the term “substantially similar</w:t>
      </w:r>
      <w:r w:rsidR="00B36D7A">
        <w:rPr>
          <w:rFonts w:cs="Times New Roman"/>
          <w:color w:val="000000" w:themeColor="text1"/>
        </w:rPr>
        <w:t>,</w:t>
      </w:r>
      <w:r w:rsidRPr="00032367">
        <w:rPr>
          <w:rFonts w:cs="Times New Roman"/>
          <w:color w:val="000000" w:themeColor="text1"/>
        </w:rPr>
        <w:t>”</w:t>
      </w:r>
      <w:r w:rsidRPr="00032367">
        <w:rPr>
          <w:rStyle w:val="FootnoteReference"/>
          <w:rFonts w:cs="Times New Roman"/>
          <w:color w:val="000000" w:themeColor="text1"/>
        </w:rPr>
        <w:footnoteReference w:id="88"/>
      </w:r>
      <w:r w:rsidRPr="00032367">
        <w:rPr>
          <w:rFonts w:cs="Times New Roman"/>
          <w:color w:val="000000" w:themeColor="text1"/>
        </w:rPr>
        <w:t xml:space="preserve"> potentially causing legitimate </w:t>
      </w:r>
      <w:r>
        <w:rPr>
          <w:rFonts w:cs="Times New Roman"/>
          <w:color w:val="000000" w:themeColor="text1"/>
        </w:rPr>
        <w:t>micro-</w:t>
      </w:r>
      <w:r w:rsidRPr="00032367">
        <w:rPr>
          <w:rFonts w:cs="Times New Roman"/>
          <w:color w:val="000000" w:themeColor="text1"/>
        </w:rPr>
        <w:t xml:space="preserve">captives </w:t>
      </w:r>
      <w:r>
        <w:rPr>
          <w:rFonts w:cs="Times New Roman"/>
          <w:color w:val="000000" w:themeColor="text1"/>
        </w:rPr>
        <w:t xml:space="preserve">to </w:t>
      </w:r>
      <w:r w:rsidRPr="00032367">
        <w:rPr>
          <w:rFonts w:cs="Times New Roman"/>
          <w:color w:val="000000" w:themeColor="text1"/>
        </w:rPr>
        <w:t>mak</w:t>
      </w:r>
      <w:r>
        <w:rPr>
          <w:rFonts w:cs="Times New Roman"/>
          <w:color w:val="000000" w:themeColor="text1"/>
        </w:rPr>
        <w:t>e</w:t>
      </w:r>
      <w:r w:rsidRPr="00032367">
        <w:rPr>
          <w:rFonts w:cs="Times New Roman"/>
          <w:color w:val="000000" w:themeColor="text1"/>
        </w:rPr>
        <w:t xml:space="preserve"> unnecessary reporting due to unclear guidelines</w:t>
      </w:r>
      <w:r w:rsidRPr="00032367">
        <w:rPr>
          <w:rStyle w:val="FootnoteReference"/>
          <w:rFonts w:cs="Times New Roman"/>
          <w:color w:val="000000" w:themeColor="text1"/>
        </w:rPr>
        <w:footnoteReference w:id="89"/>
      </w:r>
      <w:r w:rsidRPr="00032367">
        <w:rPr>
          <w:rFonts w:cs="Times New Roman"/>
          <w:color w:val="000000" w:themeColor="text1"/>
        </w:rPr>
        <w:t xml:space="preserve"> to avoid potential penalties.</w:t>
      </w:r>
      <w:r w:rsidRPr="00032367">
        <w:rPr>
          <w:rStyle w:val="FootnoteReference"/>
          <w:rFonts w:cs="Times New Roman"/>
          <w:color w:val="000000" w:themeColor="text1"/>
        </w:rPr>
        <w:footnoteReference w:id="90"/>
      </w:r>
      <w:r w:rsidRPr="00032367">
        <w:rPr>
          <w:rFonts w:cs="Times New Roman"/>
          <w:color w:val="000000" w:themeColor="text1"/>
        </w:rPr>
        <w:t xml:space="preserve"> Additionally, the breadth of Notice 2016-66 likely caused certain tangential third parties affiliated with these transactions to submit Form 8886.</w:t>
      </w:r>
      <w:r w:rsidRPr="00032367">
        <w:rPr>
          <w:rStyle w:val="FootnoteReference"/>
          <w:rFonts w:cs="Times New Roman"/>
          <w:color w:val="000000" w:themeColor="text1"/>
        </w:rPr>
        <w:footnoteReference w:id="91"/>
      </w:r>
      <w:r w:rsidRPr="00032367">
        <w:rPr>
          <w:rFonts w:cs="Times New Roman"/>
          <w:color w:val="000000" w:themeColor="text1"/>
        </w:rPr>
        <w:t xml:space="preserve"> </w:t>
      </w:r>
    </w:p>
    <w:p w14:paraId="2CBB1568" w14:textId="3337B2AF" w:rsidR="008C5B4A" w:rsidRPr="00032367" w:rsidRDefault="005B517A" w:rsidP="00357836">
      <w:pPr>
        <w:rPr>
          <w:rFonts w:cs="Times New Roman"/>
          <w:color w:val="000000" w:themeColor="text1"/>
        </w:rPr>
      </w:pPr>
      <w:r w:rsidRPr="00032367">
        <w:rPr>
          <w:rFonts w:cs="Times New Roman"/>
          <w:color w:val="000000" w:themeColor="text1"/>
        </w:rPr>
        <w:t xml:space="preserve">Some commentators noted that </w:t>
      </w:r>
      <w:r>
        <w:rPr>
          <w:rFonts w:cs="Times New Roman"/>
          <w:color w:val="000000" w:themeColor="text1"/>
        </w:rPr>
        <w:t>micro-</w:t>
      </w:r>
      <w:r w:rsidRPr="00032367">
        <w:rPr>
          <w:rFonts w:cs="Times New Roman"/>
          <w:color w:val="000000" w:themeColor="text1"/>
        </w:rPr>
        <w:t>captives must file a Form 1120-PC</w:t>
      </w:r>
      <w:r w:rsidRPr="00032367">
        <w:rPr>
          <w:color w:val="000000" w:themeColor="text1"/>
        </w:rPr>
        <w:t xml:space="preserve"> (</w:t>
      </w:r>
      <w:r w:rsidRPr="00032367">
        <w:rPr>
          <w:rFonts w:cs="Times New Roman"/>
          <w:color w:val="000000" w:themeColor="text1"/>
        </w:rPr>
        <w:t>U.S. Property and Casualty Insurance Company Income Tax Return), and that form would capture the same information that the IRS sought from Notice 2016-66.</w:t>
      </w:r>
      <w:r w:rsidRPr="00032367">
        <w:rPr>
          <w:rStyle w:val="FootnoteReference"/>
          <w:rFonts w:cs="Times New Roman"/>
          <w:color w:val="000000" w:themeColor="text1"/>
        </w:rPr>
        <w:footnoteReference w:id="92"/>
      </w:r>
      <w:r w:rsidRPr="00032367">
        <w:rPr>
          <w:rFonts w:cs="Times New Roman"/>
          <w:color w:val="000000" w:themeColor="text1"/>
        </w:rPr>
        <w:t xml:space="preserve"> Solely using Form 1120-PC for insurance companies would create less administrative work by using one form instead of two.</w:t>
      </w:r>
      <w:r w:rsidRPr="00032367">
        <w:rPr>
          <w:rStyle w:val="FootnoteReference"/>
          <w:rFonts w:cs="Times New Roman"/>
          <w:color w:val="000000" w:themeColor="text1"/>
        </w:rPr>
        <w:footnoteReference w:id="93"/>
      </w:r>
      <w:r w:rsidRPr="00032367">
        <w:rPr>
          <w:rFonts w:cs="Times New Roman"/>
          <w:color w:val="000000" w:themeColor="text1"/>
        </w:rPr>
        <w:t xml:space="preserve"> Unfortunately, Notice 2016-66 created unclear guidelines that led taxpayers affiliated with legitimate transactions to make unnecessary reports.</w:t>
      </w:r>
      <w:r w:rsidRPr="00032367">
        <w:rPr>
          <w:rStyle w:val="FootnoteReference"/>
          <w:rFonts w:cs="Times New Roman"/>
          <w:color w:val="000000" w:themeColor="text1"/>
        </w:rPr>
        <w:footnoteReference w:id="94"/>
      </w:r>
      <w:r w:rsidRPr="00032367">
        <w:rPr>
          <w:rFonts w:cs="Times New Roman"/>
          <w:color w:val="000000" w:themeColor="text1"/>
        </w:rPr>
        <w:t xml:space="preserve"> Also, potentially over-burdensome reporting requirements were costing taxpayers time and money.</w:t>
      </w:r>
      <w:r w:rsidRPr="00032367">
        <w:rPr>
          <w:rStyle w:val="FootnoteReference"/>
          <w:rFonts w:cs="Times New Roman"/>
          <w:color w:val="000000" w:themeColor="text1"/>
        </w:rPr>
        <w:footnoteReference w:id="95"/>
      </w:r>
      <w:r w:rsidRPr="00032367">
        <w:rPr>
          <w:rFonts w:cs="Times New Roman"/>
          <w:color w:val="000000" w:themeColor="text1"/>
        </w:rPr>
        <w:t xml:space="preserve"> With these issues of unclear, unnecessary, and unduly</w:t>
      </w:r>
      <w:r w:rsidR="00375E05">
        <w:rPr>
          <w:rFonts w:cs="Times New Roman"/>
          <w:color w:val="000000" w:themeColor="text1"/>
        </w:rPr>
        <w:t xml:space="preserve"> burdensome</w:t>
      </w:r>
      <w:r w:rsidRPr="00032367">
        <w:rPr>
          <w:rFonts w:cs="Times New Roman"/>
          <w:color w:val="000000" w:themeColor="text1"/>
        </w:rPr>
        <w:t xml:space="preserve"> reporting requirements, certain taxpayers decided to get the courts involved over Notice 2016-66.</w:t>
      </w:r>
      <w:r w:rsidRPr="00032367">
        <w:rPr>
          <w:rStyle w:val="FootnoteReference"/>
          <w:rFonts w:cs="Times New Roman"/>
          <w:color w:val="000000" w:themeColor="text1"/>
        </w:rPr>
        <w:footnoteReference w:id="96"/>
      </w:r>
    </w:p>
    <w:p w14:paraId="37CC237B" w14:textId="77777777" w:rsidR="005B517A" w:rsidRPr="00292E99" w:rsidRDefault="005B517A" w:rsidP="00CC2D68">
      <w:pPr>
        <w:pStyle w:val="Heading2"/>
      </w:pPr>
      <w:bookmarkStart w:id="19" w:name="_Toc158623003"/>
      <w:r w:rsidRPr="00357836">
        <w:rPr>
          <w:i w:val="0"/>
          <w:iCs/>
        </w:rPr>
        <w:t>CIC Services</w:t>
      </w:r>
      <w:r w:rsidRPr="00292E99">
        <w:t xml:space="preserve"> Case</w:t>
      </w:r>
      <w:bookmarkEnd w:id="19"/>
    </w:p>
    <w:p w14:paraId="2D79E9DF" w14:textId="77777777" w:rsidR="005B517A" w:rsidRPr="00575CB8" w:rsidRDefault="005B517A" w:rsidP="00CC2D68">
      <w:pPr>
        <w:pStyle w:val="Heading3"/>
      </w:pPr>
      <w:bookmarkStart w:id="20" w:name="_Toc158623004"/>
      <w:r w:rsidRPr="00575CB8">
        <w:t>Background</w:t>
      </w:r>
      <w:bookmarkEnd w:id="20"/>
    </w:p>
    <w:p w14:paraId="390DCEBA" w14:textId="18F0B32C" w:rsidR="005B517A" w:rsidRPr="00032367" w:rsidRDefault="005B517A" w:rsidP="00CF290D">
      <w:pPr>
        <w:rPr>
          <w:rFonts w:cs="Times New Roman"/>
          <w:color w:val="000000" w:themeColor="text1"/>
        </w:rPr>
      </w:pPr>
      <w:r w:rsidRPr="00032367">
        <w:rPr>
          <w:rFonts w:cs="Times New Roman"/>
          <w:color w:val="000000" w:themeColor="text1"/>
        </w:rPr>
        <w:t>The determinative case surrounding Notice 2016-66 began on March 27, 2017, just four months after the IRS issued Notice 2016-66 on November 1, 2016.</w:t>
      </w:r>
      <w:r w:rsidRPr="00032367">
        <w:rPr>
          <w:rStyle w:val="FootnoteReference"/>
          <w:rFonts w:cs="Times New Roman"/>
          <w:color w:val="000000" w:themeColor="text1"/>
        </w:rPr>
        <w:footnoteReference w:id="97"/>
      </w:r>
      <w:r w:rsidRPr="00032367">
        <w:rPr>
          <w:rFonts w:cs="Times New Roman"/>
          <w:color w:val="000000" w:themeColor="text1"/>
        </w:rPr>
        <w:t xml:space="preserve"> CIC Services, a manager of </w:t>
      </w:r>
      <w:r>
        <w:rPr>
          <w:rFonts w:cs="Times New Roman"/>
          <w:color w:val="000000" w:themeColor="text1"/>
        </w:rPr>
        <w:t>micro-</w:t>
      </w:r>
      <w:r w:rsidRPr="00032367">
        <w:rPr>
          <w:rFonts w:cs="Times New Roman"/>
          <w:color w:val="000000" w:themeColor="text1"/>
        </w:rPr>
        <w:t xml:space="preserve">captive insurance companies, </w:t>
      </w:r>
      <w:r w:rsidRPr="00032367">
        <w:rPr>
          <w:rFonts w:cs="Times New Roman"/>
          <w:color w:val="000000" w:themeColor="text1"/>
        </w:rPr>
        <w:lastRenderedPageBreak/>
        <w:t>initiated this action against the IRS.</w:t>
      </w:r>
      <w:r w:rsidRPr="00032367">
        <w:rPr>
          <w:rStyle w:val="FootnoteReference"/>
          <w:rFonts w:cs="Times New Roman"/>
          <w:color w:val="000000" w:themeColor="text1"/>
        </w:rPr>
        <w:footnoteReference w:id="98"/>
      </w:r>
      <w:r w:rsidRPr="00032367">
        <w:rPr>
          <w:rFonts w:cs="Times New Roman"/>
          <w:color w:val="000000" w:themeColor="text1"/>
        </w:rPr>
        <w:t xml:space="preserve"> CIC Services noted that adhering to the Notice 2016-66 disclosure requirements caused them to incur significant costs.</w:t>
      </w:r>
      <w:r w:rsidRPr="00032367">
        <w:rPr>
          <w:rStyle w:val="FootnoteReference"/>
          <w:rFonts w:cs="Times New Roman"/>
          <w:color w:val="000000" w:themeColor="text1"/>
        </w:rPr>
        <w:footnoteReference w:id="99"/>
      </w:r>
      <w:r w:rsidRPr="00032367">
        <w:rPr>
          <w:rFonts w:cs="Times New Roman"/>
          <w:color w:val="000000" w:themeColor="text1"/>
        </w:rPr>
        <w:t xml:space="preserve"> Therefore, CIC Services challenged Notice 2016-66</w:t>
      </w:r>
      <w:r w:rsidR="00B36D7A">
        <w:rPr>
          <w:rFonts w:cs="Times New Roman"/>
          <w:color w:val="000000" w:themeColor="text1"/>
        </w:rPr>
        <w:t>,</w:t>
      </w:r>
      <w:r w:rsidRPr="00032367">
        <w:rPr>
          <w:rFonts w:cs="Times New Roman"/>
          <w:color w:val="000000" w:themeColor="text1"/>
        </w:rPr>
        <w:t xml:space="preserve"> raising two issues.</w:t>
      </w:r>
      <w:r w:rsidRPr="00032367">
        <w:rPr>
          <w:rStyle w:val="FootnoteReference"/>
          <w:rFonts w:cs="Times New Roman"/>
          <w:color w:val="000000" w:themeColor="text1"/>
        </w:rPr>
        <w:footnoteReference w:id="100"/>
      </w:r>
      <w:r w:rsidRPr="00032367">
        <w:rPr>
          <w:rFonts w:cs="Times New Roman"/>
          <w:color w:val="000000" w:themeColor="text1"/>
        </w:rPr>
        <w:t xml:space="preserve"> First, they argued that the IRS failed to adhere to the mandatory notice-and-comment requirements under the APA in issuing Notice 2016-66.</w:t>
      </w:r>
      <w:r w:rsidRPr="00032367">
        <w:rPr>
          <w:rStyle w:val="FootnoteReference"/>
          <w:rFonts w:cs="Times New Roman"/>
          <w:color w:val="000000" w:themeColor="text1"/>
        </w:rPr>
        <w:footnoteReference w:id="101"/>
      </w:r>
      <w:r w:rsidRPr="00032367">
        <w:rPr>
          <w:rFonts w:cs="Times New Roman"/>
          <w:color w:val="000000" w:themeColor="text1"/>
        </w:rPr>
        <w:t xml:space="preserve"> Second, they argued that the IRS issued Notice 2016-66 “</w:t>
      </w:r>
      <w:proofErr w:type="spellStart"/>
      <w:r w:rsidRPr="00032367">
        <w:rPr>
          <w:rFonts w:cs="Times New Roman"/>
          <w:color w:val="000000" w:themeColor="text1"/>
        </w:rPr>
        <w:t>arbitrar</w:t>
      </w:r>
      <w:proofErr w:type="spellEnd"/>
      <w:r w:rsidRPr="00032367">
        <w:rPr>
          <w:rFonts w:cs="Times New Roman"/>
          <w:color w:val="000000" w:themeColor="text1"/>
        </w:rPr>
        <w:t>[</w:t>
      </w:r>
      <w:proofErr w:type="spellStart"/>
      <w:r w:rsidRPr="00032367">
        <w:rPr>
          <w:rFonts w:cs="Times New Roman"/>
          <w:color w:val="000000" w:themeColor="text1"/>
        </w:rPr>
        <w:t>ily</w:t>
      </w:r>
      <w:proofErr w:type="spellEnd"/>
      <w:r w:rsidRPr="00032367">
        <w:rPr>
          <w:rFonts w:cs="Times New Roman"/>
          <w:color w:val="000000" w:themeColor="text1"/>
        </w:rPr>
        <w:t>] and capricious[</w:t>
      </w:r>
      <w:proofErr w:type="spellStart"/>
      <w:r w:rsidRPr="00032367">
        <w:rPr>
          <w:rFonts w:cs="Times New Roman"/>
          <w:color w:val="000000" w:themeColor="text1"/>
        </w:rPr>
        <w:t>ly</w:t>
      </w:r>
      <w:proofErr w:type="spellEnd"/>
      <w:r w:rsidRPr="00032367">
        <w:rPr>
          <w:rFonts w:cs="Times New Roman"/>
          <w:color w:val="000000" w:themeColor="text1"/>
        </w:rPr>
        <w:t>]. . . .”</w:t>
      </w:r>
      <w:r w:rsidRPr="00032367">
        <w:rPr>
          <w:rStyle w:val="FootnoteReference"/>
          <w:rFonts w:cs="Times New Roman"/>
          <w:color w:val="000000" w:themeColor="text1"/>
        </w:rPr>
        <w:footnoteReference w:id="102"/>
      </w:r>
      <w:r w:rsidRPr="00032367">
        <w:rPr>
          <w:rFonts w:cs="Times New Roman"/>
          <w:color w:val="000000" w:themeColor="text1"/>
        </w:rPr>
        <w:t xml:space="preserve"> CIC Services pleaded with the court to administer an injunction to prohibit the IRS from enforcing the disclosure requirements under Notice 2016-66 and to eventually set aside Notice 2016-66 completely.</w:t>
      </w:r>
      <w:r w:rsidRPr="00032367">
        <w:rPr>
          <w:rStyle w:val="FootnoteReference"/>
          <w:rFonts w:cs="Times New Roman"/>
          <w:color w:val="000000" w:themeColor="text1"/>
        </w:rPr>
        <w:footnoteReference w:id="103"/>
      </w:r>
      <w:r w:rsidRPr="00032367">
        <w:rPr>
          <w:rFonts w:cs="Times New Roman"/>
          <w:color w:val="000000" w:themeColor="text1"/>
        </w:rPr>
        <w:t xml:space="preserve"> Ultimately, CIC would win on both issues on March 21, 2022, whereby the United States District Court of Eastern District Tennessee granted the requested injunction.</w:t>
      </w:r>
      <w:r w:rsidRPr="00032367">
        <w:rPr>
          <w:rStyle w:val="FootnoteReference"/>
          <w:rFonts w:cs="Times New Roman"/>
          <w:color w:val="000000" w:themeColor="text1"/>
        </w:rPr>
        <w:footnoteReference w:id="104"/>
      </w:r>
    </w:p>
    <w:p w14:paraId="61C090AE" w14:textId="77777777" w:rsidR="005B517A" w:rsidRPr="00A71FDB" w:rsidRDefault="005B517A" w:rsidP="00CC2D68">
      <w:pPr>
        <w:pStyle w:val="Heading3"/>
        <w:rPr>
          <w:i w:val="0"/>
        </w:rPr>
      </w:pPr>
      <w:bookmarkStart w:id="21" w:name="_Toc158623005"/>
      <w:r w:rsidRPr="00A71FDB">
        <w:t xml:space="preserve">The </w:t>
      </w:r>
      <w:r w:rsidRPr="00CC2D68">
        <w:t>Court’s</w:t>
      </w:r>
      <w:r w:rsidRPr="00A71FDB">
        <w:t xml:space="preserve"> Analysis</w:t>
      </w:r>
      <w:bookmarkEnd w:id="21"/>
    </w:p>
    <w:p w14:paraId="337B5E9E" w14:textId="77777777" w:rsidR="005B517A" w:rsidRPr="00A71FDB" w:rsidRDefault="005B517A" w:rsidP="00CC2D68">
      <w:pPr>
        <w:pStyle w:val="Heading4"/>
      </w:pPr>
      <w:bookmarkStart w:id="22" w:name="_Toc158623006"/>
      <w:r w:rsidRPr="00A71FDB">
        <w:t>Notice-and-Comment Procedure under the APA</w:t>
      </w:r>
      <w:bookmarkEnd w:id="22"/>
    </w:p>
    <w:p w14:paraId="1EE9B375" w14:textId="16F91201" w:rsidR="005B517A" w:rsidRPr="00032367" w:rsidRDefault="005B517A" w:rsidP="00F575C3">
      <w:pPr>
        <w:rPr>
          <w:rFonts w:cs="Times New Roman"/>
          <w:color w:val="000000" w:themeColor="text1"/>
        </w:rPr>
      </w:pPr>
      <w:r w:rsidRPr="00032367">
        <w:rPr>
          <w:rFonts w:cs="Times New Roman"/>
          <w:color w:val="000000" w:themeColor="text1"/>
        </w:rPr>
        <w:t>Beginning with the first issue, the APA requires that legislative rules be administered through a mandatory notice-and-comment requirement.</w:t>
      </w:r>
      <w:r w:rsidRPr="00032367">
        <w:rPr>
          <w:rStyle w:val="FootnoteReference"/>
          <w:rFonts w:cs="Times New Roman"/>
          <w:color w:val="000000" w:themeColor="text1"/>
        </w:rPr>
        <w:footnoteReference w:id="105"/>
      </w:r>
      <w:r w:rsidRPr="00032367">
        <w:rPr>
          <w:rFonts w:cs="Times New Roman"/>
          <w:color w:val="000000" w:themeColor="text1"/>
        </w:rPr>
        <w:t xml:space="preserve"> While the IRS agreed with its failure to follow the APA’s procedure, the IRS argued that Congress exempted the IRS from this procedure.</w:t>
      </w:r>
      <w:r w:rsidRPr="00032367">
        <w:rPr>
          <w:rStyle w:val="FootnoteReference"/>
          <w:rFonts w:cs="Times New Roman"/>
          <w:color w:val="000000" w:themeColor="text1"/>
        </w:rPr>
        <w:footnoteReference w:id="106"/>
      </w:r>
      <w:r w:rsidRPr="00032367">
        <w:rPr>
          <w:rFonts w:cs="Times New Roman"/>
          <w:color w:val="000000" w:themeColor="text1"/>
        </w:rPr>
        <w:t xml:space="preserve"> According to the IRS</w:t>
      </w:r>
      <w:r w:rsidR="00375E05">
        <w:rPr>
          <w:rFonts w:cs="Times New Roman"/>
          <w:color w:val="000000" w:themeColor="text1"/>
        </w:rPr>
        <w:t>,</w:t>
      </w:r>
      <w:r w:rsidRPr="00032367">
        <w:rPr>
          <w:rFonts w:cs="Times New Roman"/>
          <w:color w:val="000000" w:themeColor="text1"/>
        </w:rPr>
        <w:t xml:space="preserve"> Notice 2016-66 would be an interpretive rule and not a legislative rule.</w:t>
      </w:r>
      <w:r>
        <w:rPr>
          <w:rStyle w:val="FootnoteReference"/>
          <w:rFonts w:cs="Times New Roman"/>
          <w:color w:val="000000" w:themeColor="text1"/>
        </w:rPr>
        <w:footnoteReference w:id="107"/>
      </w:r>
      <w:r w:rsidRPr="00032367">
        <w:rPr>
          <w:rFonts w:cs="Times New Roman"/>
          <w:color w:val="000000" w:themeColor="text1"/>
        </w:rPr>
        <w:t xml:space="preserve"> Therefore, Congress did not intend to place this requirement upon the IRS.</w:t>
      </w:r>
      <w:r w:rsidRPr="00032367">
        <w:rPr>
          <w:rStyle w:val="FootnoteReference"/>
          <w:rFonts w:cs="Times New Roman"/>
          <w:color w:val="000000" w:themeColor="text1"/>
        </w:rPr>
        <w:footnoteReference w:id="108"/>
      </w:r>
    </w:p>
    <w:p w14:paraId="0696641A" w14:textId="65CF93D0" w:rsidR="005B517A" w:rsidRPr="00032367" w:rsidRDefault="005B517A" w:rsidP="00357836">
      <w:pPr>
        <w:rPr>
          <w:rFonts w:cs="Times New Roman"/>
          <w:color w:val="000000" w:themeColor="text1"/>
        </w:rPr>
      </w:pPr>
      <w:r w:rsidRPr="00032367">
        <w:rPr>
          <w:rFonts w:cs="Times New Roman"/>
          <w:color w:val="000000" w:themeColor="text1"/>
        </w:rPr>
        <w:t>The court quickly disregarded the IRS’</w:t>
      </w:r>
      <w:r w:rsidR="00375E05">
        <w:rPr>
          <w:rFonts w:cs="Times New Roman"/>
          <w:color w:val="000000" w:themeColor="text1"/>
        </w:rPr>
        <w:t>s</w:t>
      </w:r>
      <w:r w:rsidRPr="00032367">
        <w:rPr>
          <w:rFonts w:cs="Times New Roman"/>
          <w:color w:val="000000" w:themeColor="text1"/>
        </w:rPr>
        <w:t xml:space="preserve"> contention by following precedent from an earlier decision decided in the Sixth Circuit.</w:t>
      </w:r>
      <w:r w:rsidRPr="00032367">
        <w:rPr>
          <w:rStyle w:val="FootnoteReference"/>
          <w:rFonts w:cs="Times New Roman"/>
          <w:color w:val="000000" w:themeColor="text1"/>
        </w:rPr>
        <w:footnoteReference w:id="109"/>
      </w:r>
      <w:r w:rsidRPr="00032367">
        <w:rPr>
          <w:rFonts w:cs="Times New Roman"/>
          <w:color w:val="000000" w:themeColor="text1"/>
        </w:rPr>
        <w:t xml:space="preserve"> In </w:t>
      </w:r>
      <w:r w:rsidRPr="00032367">
        <w:rPr>
          <w:rFonts w:cs="Times New Roman"/>
          <w:i/>
          <w:iCs/>
          <w:color w:val="000000" w:themeColor="text1"/>
        </w:rPr>
        <w:t>Mann Construction</w:t>
      </w:r>
      <w:r w:rsidRPr="00032367">
        <w:rPr>
          <w:rFonts w:cs="Times New Roman"/>
          <w:color w:val="000000" w:themeColor="text1"/>
        </w:rPr>
        <w:t>, the Sixth Circuit disagreed with the IRS when using this exact argument.</w:t>
      </w:r>
      <w:r w:rsidRPr="00032367">
        <w:rPr>
          <w:rStyle w:val="FootnoteReference"/>
          <w:rFonts w:cs="Times New Roman"/>
          <w:color w:val="000000" w:themeColor="text1"/>
        </w:rPr>
        <w:footnoteReference w:id="110"/>
      </w:r>
      <w:r w:rsidRPr="00032367">
        <w:rPr>
          <w:rFonts w:cs="Times New Roman"/>
          <w:color w:val="000000" w:themeColor="text1"/>
        </w:rPr>
        <w:t xml:space="preserve"> </w:t>
      </w:r>
      <w:r w:rsidRPr="00F92C9A">
        <w:rPr>
          <w:rFonts w:cs="Times New Roman"/>
          <w:i/>
          <w:iCs/>
          <w:color w:val="000000" w:themeColor="text1"/>
        </w:rPr>
        <w:t>Mann Construction</w:t>
      </w:r>
      <w:r w:rsidRPr="00032367">
        <w:rPr>
          <w:rFonts w:cs="Times New Roman"/>
          <w:color w:val="000000" w:themeColor="text1"/>
        </w:rPr>
        <w:t xml:space="preserve"> also challenged another notice (for a different transaction) due to the IRS’</w:t>
      </w:r>
      <w:r w:rsidR="00375E05">
        <w:rPr>
          <w:rFonts w:cs="Times New Roman"/>
          <w:color w:val="000000" w:themeColor="text1"/>
        </w:rPr>
        <w:t>s</w:t>
      </w:r>
      <w:r w:rsidRPr="00032367">
        <w:rPr>
          <w:rFonts w:cs="Times New Roman"/>
          <w:color w:val="000000" w:themeColor="text1"/>
        </w:rPr>
        <w:t xml:space="preserve"> failure to adhere to the notice-and-comment procedure.</w:t>
      </w:r>
      <w:r w:rsidRPr="00032367">
        <w:rPr>
          <w:rStyle w:val="FootnoteReference"/>
          <w:rFonts w:cs="Times New Roman"/>
          <w:color w:val="000000" w:themeColor="text1"/>
        </w:rPr>
        <w:footnoteReference w:id="111"/>
      </w:r>
      <w:r w:rsidRPr="00032367">
        <w:rPr>
          <w:rFonts w:cs="Times New Roman"/>
          <w:color w:val="000000" w:themeColor="text1"/>
        </w:rPr>
        <w:t xml:space="preserve"> With an identical response to that made </w:t>
      </w:r>
      <w:r>
        <w:rPr>
          <w:rFonts w:cs="Times New Roman"/>
          <w:color w:val="000000" w:themeColor="text1"/>
        </w:rPr>
        <w:t>in</w:t>
      </w:r>
      <w:r w:rsidRPr="00032367">
        <w:rPr>
          <w:rFonts w:cs="Times New Roman"/>
          <w:color w:val="000000" w:themeColor="text1"/>
        </w:rPr>
        <w:t xml:space="preserve"> </w:t>
      </w:r>
      <w:r w:rsidRPr="00032367">
        <w:rPr>
          <w:rFonts w:cs="Times New Roman"/>
          <w:i/>
          <w:iCs/>
          <w:color w:val="000000" w:themeColor="text1"/>
        </w:rPr>
        <w:t xml:space="preserve">CIC </w:t>
      </w:r>
      <w:r w:rsidRPr="00032367">
        <w:rPr>
          <w:rFonts w:cs="Times New Roman"/>
          <w:i/>
          <w:iCs/>
          <w:color w:val="000000" w:themeColor="text1"/>
        </w:rPr>
        <w:lastRenderedPageBreak/>
        <w:t>Services</w:t>
      </w:r>
      <w:r w:rsidRPr="00032367">
        <w:rPr>
          <w:rFonts w:cs="Times New Roman"/>
          <w:color w:val="000000" w:themeColor="text1"/>
        </w:rPr>
        <w:t xml:space="preserve">, the IRS </w:t>
      </w:r>
      <w:r>
        <w:rPr>
          <w:rFonts w:cs="Times New Roman"/>
          <w:color w:val="000000" w:themeColor="text1"/>
        </w:rPr>
        <w:t>argued</w:t>
      </w:r>
      <w:r w:rsidRPr="00032367">
        <w:rPr>
          <w:rFonts w:cs="Times New Roman"/>
          <w:color w:val="000000" w:themeColor="text1"/>
        </w:rPr>
        <w:t xml:space="preserve"> that Congress had exempted the IRS from this APA procedure.</w:t>
      </w:r>
      <w:r w:rsidRPr="00032367">
        <w:rPr>
          <w:rStyle w:val="FootnoteReference"/>
          <w:rFonts w:cs="Times New Roman"/>
          <w:color w:val="000000" w:themeColor="text1"/>
        </w:rPr>
        <w:footnoteReference w:id="112"/>
      </w:r>
      <w:r w:rsidRPr="00032367">
        <w:rPr>
          <w:rFonts w:cs="Times New Roman"/>
          <w:color w:val="000000" w:themeColor="text1"/>
        </w:rPr>
        <w:t xml:space="preserve"> The Sixth Circuit disagreed and held that the notice was a legislative rule and that Congress did not exempt the IRS from the APA’s procedure.</w:t>
      </w:r>
      <w:r w:rsidRPr="00032367">
        <w:rPr>
          <w:rStyle w:val="FootnoteReference"/>
          <w:rFonts w:cs="Times New Roman"/>
          <w:color w:val="000000" w:themeColor="text1"/>
        </w:rPr>
        <w:footnoteReference w:id="113"/>
      </w:r>
      <w:r w:rsidRPr="00032367">
        <w:rPr>
          <w:rFonts w:cs="Times New Roman"/>
          <w:color w:val="000000" w:themeColor="text1"/>
        </w:rPr>
        <w:t xml:space="preserve"> </w:t>
      </w:r>
    </w:p>
    <w:p w14:paraId="528AEFB1" w14:textId="6766837A" w:rsidR="005B517A" w:rsidRPr="00032367" w:rsidRDefault="005B517A" w:rsidP="00357836">
      <w:pPr>
        <w:rPr>
          <w:rFonts w:cs="Times New Roman"/>
          <w:color w:val="000000" w:themeColor="text1"/>
        </w:rPr>
      </w:pPr>
      <w:r w:rsidRPr="00032367">
        <w:rPr>
          <w:rFonts w:cs="Times New Roman"/>
          <w:color w:val="000000" w:themeColor="text1"/>
        </w:rPr>
        <w:t xml:space="preserve">In </w:t>
      </w:r>
      <w:r w:rsidRPr="00032367">
        <w:rPr>
          <w:rFonts w:cs="Times New Roman"/>
          <w:i/>
          <w:iCs/>
          <w:color w:val="000000" w:themeColor="text1"/>
        </w:rPr>
        <w:t>CIC Services</w:t>
      </w:r>
      <w:r w:rsidRPr="00032367">
        <w:rPr>
          <w:rFonts w:cs="Times New Roman"/>
          <w:color w:val="000000" w:themeColor="text1"/>
        </w:rPr>
        <w:t>, the court held that the Sixth Circuit’s analysis was binding and “</w:t>
      </w:r>
      <w:proofErr w:type="spellStart"/>
      <w:r w:rsidRPr="00032367">
        <w:rPr>
          <w:rFonts w:cs="Times New Roman"/>
          <w:color w:val="000000" w:themeColor="text1"/>
        </w:rPr>
        <w:t>applie</w:t>
      </w:r>
      <w:proofErr w:type="spellEnd"/>
      <w:r w:rsidRPr="00032367">
        <w:rPr>
          <w:rFonts w:cs="Times New Roman"/>
          <w:color w:val="000000" w:themeColor="text1"/>
        </w:rPr>
        <w:t>[d] equally to the arguments advanced by the IRS regarding Notice 2016-66 in this case.”</w:t>
      </w:r>
      <w:r w:rsidRPr="00032367">
        <w:rPr>
          <w:rStyle w:val="FootnoteReference"/>
          <w:rFonts w:cs="Times New Roman"/>
          <w:color w:val="000000" w:themeColor="text1"/>
        </w:rPr>
        <w:footnoteReference w:id="114"/>
      </w:r>
      <w:r w:rsidRPr="00032367">
        <w:rPr>
          <w:rFonts w:cs="Times New Roman"/>
          <w:color w:val="000000" w:themeColor="text1"/>
        </w:rPr>
        <w:t xml:space="preserve"> Therefore, the court invalidated Notice 2016-66 for the IRS’</w:t>
      </w:r>
      <w:r w:rsidR="00375E05">
        <w:rPr>
          <w:rFonts w:cs="Times New Roman"/>
          <w:color w:val="000000" w:themeColor="text1"/>
        </w:rPr>
        <w:t>s</w:t>
      </w:r>
      <w:r w:rsidRPr="00032367">
        <w:rPr>
          <w:rFonts w:cs="Times New Roman"/>
          <w:color w:val="000000" w:themeColor="text1"/>
        </w:rPr>
        <w:t xml:space="preserve"> failure to adhere to the APA’s procedures.</w:t>
      </w:r>
      <w:r w:rsidRPr="00032367">
        <w:rPr>
          <w:rStyle w:val="FootnoteReference"/>
          <w:rFonts w:cs="Times New Roman"/>
          <w:color w:val="000000" w:themeColor="text1"/>
        </w:rPr>
        <w:footnoteReference w:id="115"/>
      </w:r>
    </w:p>
    <w:p w14:paraId="371A469F" w14:textId="77777777" w:rsidR="005B517A" w:rsidRPr="00CA268D" w:rsidRDefault="005B517A" w:rsidP="00CC2D68">
      <w:pPr>
        <w:pStyle w:val="Heading4"/>
      </w:pPr>
      <w:bookmarkStart w:id="23" w:name="_Toc158623007"/>
      <w:r w:rsidRPr="00CC2D68">
        <w:t>Arbitrary</w:t>
      </w:r>
      <w:r w:rsidRPr="00CA268D">
        <w:t xml:space="preserve"> and Capricious</w:t>
      </w:r>
      <w:bookmarkEnd w:id="23"/>
    </w:p>
    <w:p w14:paraId="06141C21" w14:textId="14B11526" w:rsidR="005B517A" w:rsidRDefault="005B517A" w:rsidP="00F575C3">
      <w:pPr>
        <w:rPr>
          <w:rFonts w:cs="Times New Roman"/>
          <w:color w:val="000000" w:themeColor="text1"/>
        </w:rPr>
      </w:pPr>
      <w:r w:rsidRPr="00032367">
        <w:rPr>
          <w:rFonts w:cs="Times New Roman"/>
          <w:color w:val="000000" w:themeColor="text1"/>
        </w:rPr>
        <w:t>To determine if an agency implemented an action arbitrarily and capriciously,</w:t>
      </w:r>
      <w:r w:rsidRPr="00032367">
        <w:rPr>
          <w:rStyle w:val="FootnoteReference"/>
          <w:rFonts w:cs="Times New Roman"/>
          <w:color w:val="000000" w:themeColor="text1"/>
        </w:rPr>
        <w:footnoteReference w:id="116"/>
      </w:r>
      <w:r w:rsidRPr="00032367">
        <w:rPr>
          <w:rFonts w:cs="Times New Roman"/>
          <w:color w:val="000000" w:themeColor="text1"/>
        </w:rPr>
        <w:t xml:space="preserve"> courts must decide if the agency “examined ‘the relevant data’ and articulated ‘a satisfactory explanation’ for [its] decision, ‘including a rational connection between the facts found and the choice made.’”</w:t>
      </w:r>
      <w:r w:rsidRPr="00032367">
        <w:rPr>
          <w:rStyle w:val="FootnoteReference"/>
          <w:rFonts w:cs="Times New Roman"/>
          <w:color w:val="000000" w:themeColor="text1"/>
        </w:rPr>
        <w:footnoteReference w:id="117"/>
      </w:r>
      <w:r w:rsidRPr="00032367">
        <w:rPr>
          <w:rFonts w:cs="Times New Roman"/>
          <w:color w:val="000000" w:themeColor="text1"/>
        </w:rPr>
        <w:t xml:space="preserve"> A court examines the administrative record to review an agency’s action for arbitrary or capricious findings.</w:t>
      </w:r>
      <w:r w:rsidRPr="00032367">
        <w:rPr>
          <w:rStyle w:val="FootnoteReference"/>
          <w:rFonts w:cs="Times New Roman"/>
          <w:color w:val="000000" w:themeColor="text1"/>
        </w:rPr>
        <w:footnoteReference w:id="118"/>
      </w:r>
      <w:r w:rsidRPr="00032367">
        <w:rPr>
          <w:rFonts w:cs="Times New Roman"/>
          <w:color w:val="000000" w:themeColor="text1"/>
        </w:rPr>
        <w:t xml:space="preserve"> The administrative record would signify the data and facts the IRS focused upon when finding that micro-captive transactions should be considered transactions of interest.</w:t>
      </w:r>
      <w:r w:rsidRPr="00032367">
        <w:rPr>
          <w:rStyle w:val="FootnoteReference"/>
          <w:rFonts w:cs="Times New Roman"/>
          <w:color w:val="000000" w:themeColor="text1"/>
        </w:rPr>
        <w:footnoteReference w:id="119"/>
      </w:r>
      <w:r w:rsidRPr="00032367">
        <w:rPr>
          <w:rFonts w:cs="Times New Roman"/>
          <w:color w:val="000000" w:themeColor="text1"/>
        </w:rPr>
        <w:t xml:space="preserve"> The court would look at the administrative record to see whether the agency</w:t>
      </w:r>
      <w:r w:rsidR="00F92C9A">
        <w:rPr>
          <w:rFonts w:cs="Times New Roman"/>
          <w:color w:val="000000" w:themeColor="text1"/>
        </w:rPr>
        <w:t>:</w:t>
      </w:r>
    </w:p>
    <w:p w14:paraId="2A1C2480" w14:textId="77777777" w:rsidR="00F92C9A" w:rsidRPr="00032367" w:rsidRDefault="00F92C9A" w:rsidP="005B517A">
      <w:pPr>
        <w:ind w:firstLine="720"/>
        <w:rPr>
          <w:rFonts w:cs="Times New Roman"/>
          <w:color w:val="000000" w:themeColor="text1"/>
        </w:rPr>
      </w:pPr>
    </w:p>
    <w:p w14:paraId="4C87D3B6" w14:textId="77777777" w:rsidR="005B517A" w:rsidRPr="00032367" w:rsidRDefault="005B517A" w:rsidP="00357836">
      <w:pPr>
        <w:ind w:left="360" w:right="360" w:firstLine="0"/>
        <w:rPr>
          <w:rFonts w:cs="Times New Roman"/>
          <w:color w:val="000000" w:themeColor="text1"/>
        </w:rPr>
      </w:pPr>
      <w:r w:rsidRPr="00032367">
        <w:rPr>
          <w:rFonts w:cs="Times New Roman"/>
          <w:color w:val="000000" w:themeColor="text1"/>
        </w:rPr>
        <w:t>has relied on factors which Congress has not intended it to consider, entirely failed to consider an important aspect of the problem, offered an explanation that runs counter to the evidence before the agency, or is so implausible that it could not be ascribed to a difference in view or the product of agency expertise.</w:t>
      </w:r>
      <w:r w:rsidRPr="00032367">
        <w:rPr>
          <w:rStyle w:val="FootnoteReference"/>
          <w:rFonts w:cs="Times New Roman"/>
          <w:color w:val="000000" w:themeColor="text1"/>
        </w:rPr>
        <w:footnoteReference w:id="120"/>
      </w:r>
    </w:p>
    <w:p w14:paraId="11D1D007" w14:textId="77777777" w:rsidR="005B517A" w:rsidRPr="00032367" w:rsidRDefault="005B517A" w:rsidP="005B517A">
      <w:pPr>
        <w:ind w:left="720"/>
        <w:rPr>
          <w:rFonts w:cs="Times New Roman"/>
          <w:color w:val="000000" w:themeColor="text1"/>
        </w:rPr>
      </w:pPr>
    </w:p>
    <w:p w14:paraId="39264707" w14:textId="4F6C5CB5" w:rsidR="005B517A" w:rsidRPr="00032367" w:rsidRDefault="005B517A" w:rsidP="00357836">
      <w:pPr>
        <w:ind w:firstLine="0"/>
        <w:rPr>
          <w:rFonts w:cs="Times New Roman"/>
          <w:color w:val="000000" w:themeColor="text1"/>
        </w:rPr>
      </w:pPr>
      <w:r w:rsidRPr="00032367">
        <w:rPr>
          <w:rFonts w:cs="Times New Roman"/>
          <w:color w:val="000000" w:themeColor="text1"/>
        </w:rPr>
        <w:t>From these factors, a court would “narrow</w:t>
      </w:r>
      <w:r w:rsidR="00375E05">
        <w:rPr>
          <w:rFonts w:cs="Times New Roman"/>
          <w:color w:val="000000" w:themeColor="text1"/>
        </w:rPr>
        <w:t>[</w:t>
      </w:r>
      <w:proofErr w:type="spellStart"/>
      <w:r w:rsidRPr="00032367">
        <w:rPr>
          <w:rFonts w:cs="Times New Roman"/>
          <w:color w:val="000000" w:themeColor="text1"/>
        </w:rPr>
        <w:t>ly</w:t>
      </w:r>
      <w:proofErr w:type="spellEnd"/>
      <w:r w:rsidR="00375E05">
        <w:rPr>
          <w:rFonts w:cs="Times New Roman"/>
          <w:color w:val="000000" w:themeColor="text1"/>
        </w:rPr>
        <w:t>]</w:t>
      </w:r>
      <w:r w:rsidRPr="00032367">
        <w:rPr>
          <w:rFonts w:cs="Times New Roman"/>
          <w:color w:val="000000" w:themeColor="text1"/>
        </w:rPr>
        <w:t>” review the agency’s reasoning and uphold the action if the agency’s reasoning c</w:t>
      </w:r>
      <w:r w:rsidR="00B36D7A">
        <w:rPr>
          <w:rFonts w:cs="Times New Roman"/>
          <w:color w:val="000000" w:themeColor="text1"/>
        </w:rPr>
        <w:t>ould</w:t>
      </w:r>
      <w:r w:rsidRPr="00032367">
        <w:rPr>
          <w:rFonts w:cs="Times New Roman"/>
          <w:color w:val="000000" w:themeColor="text1"/>
        </w:rPr>
        <w:t xml:space="preserve"> “reasonably </w:t>
      </w:r>
      <w:r w:rsidR="00375E05">
        <w:rPr>
          <w:rFonts w:cs="Times New Roman"/>
          <w:color w:val="000000" w:themeColor="text1"/>
        </w:rPr>
        <w:t xml:space="preserve">be </w:t>
      </w:r>
      <w:r w:rsidRPr="00032367">
        <w:rPr>
          <w:rFonts w:cs="Times New Roman"/>
          <w:color w:val="000000" w:themeColor="text1"/>
        </w:rPr>
        <w:t>discerned.”</w:t>
      </w:r>
      <w:r w:rsidRPr="00032367">
        <w:rPr>
          <w:rStyle w:val="FootnoteReference"/>
          <w:rFonts w:cs="Times New Roman"/>
          <w:color w:val="000000" w:themeColor="text1"/>
        </w:rPr>
        <w:footnoteReference w:id="121"/>
      </w:r>
      <w:r w:rsidRPr="00032367">
        <w:rPr>
          <w:rFonts w:cs="Times New Roman"/>
          <w:color w:val="000000" w:themeColor="text1"/>
        </w:rPr>
        <w:t xml:space="preserve"> </w:t>
      </w:r>
    </w:p>
    <w:p w14:paraId="0C7FB103" w14:textId="66C7B397" w:rsidR="005B517A" w:rsidRPr="00032367" w:rsidRDefault="005B517A" w:rsidP="00F575C3">
      <w:pPr>
        <w:rPr>
          <w:rFonts w:cs="Times New Roman"/>
          <w:color w:val="000000" w:themeColor="text1"/>
        </w:rPr>
      </w:pPr>
      <w:r w:rsidRPr="00032367">
        <w:rPr>
          <w:rFonts w:cs="Times New Roman"/>
          <w:color w:val="000000" w:themeColor="text1"/>
        </w:rPr>
        <w:lastRenderedPageBreak/>
        <w:t>Here, the focus was on the IRS’</w:t>
      </w:r>
      <w:r w:rsidR="00375E05">
        <w:rPr>
          <w:rFonts w:cs="Times New Roman"/>
          <w:color w:val="000000" w:themeColor="text1"/>
        </w:rPr>
        <w:t>s</w:t>
      </w:r>
      <w:r w:rsidRPr="00032367">
        <w:rPr>
          <w:rFonts w:cs="Times New Roman"/>
          <w:color w:val="000000" w:themeColor="text1"/>
        </w:rPr>
        <w:t xml:space="preserve"> administrative records in implementing Notice 2016-66.</w:t>
      </w:r>
      <w:r w:rsidRPr="00032367">
        <w:rPr>
          <w:rStyle w:val="FootnoteReference"/>
          <w:rFonts w:cs="Times New Roman"/>
          <w:color w:val="000000" w:themeColor="text1"/>
        </w:rPr>
        <w:footnoteReference w:id="122"/>
      </w:r>
      <w:r w:rsidRPr="00032367">
        <w:rPr>
          <w:rFonts w:cs="Times New Roman"/>
          <w:color w:val="000000" w:themeColor="text1"/>
        </w:rPr>
        <w:t xml:space="preserve"> Congress does require taxpayers to give information to the IRS regarding reportable transactions, and the IRS may promulgate regulations requesting such specific details.</w:t>
      </w:r>
      <w:r w:rsidRPr="00032367">
        <w:rPr>
          <w:rStyle w:val="FootnoteReference"/>
          <w:rFonts w:cs="Times New Roman"/>
          <w:color w:val="000000" w:themeColor="text1"/>
        </w:rPr>
        <w:footnoteReference w:id="123"/>
      </w:r>
      <w:r w:rsidRPr="00032367">
        <w:rPr>
          <w:rFonts w:cs="Times New Roman"/>
          <w:color w:val="000000" w:themeColor="text1"/>
        </w:rPr>
        <w:t xml:space="preserve"> Nonetheless, the IRS must do so with an actual basis “to designate micro-captive transactions as a ‘transaction of interest’ based on the potential for tax avoidance or evasion.”</w:t>
      </w:r>
      <w:r w:rsidRPr="00032367">
        <w:rPr>
          <w:rStyle w:val="FootnoteReference"/>
          <w:rFonts w:cs="Times New Roman"/>
          <w:color w:val="000000" w:themeColor="text1"/>
        </w:rPr>
        <w:footnoteReference w:id="124"/>
      </w:r>
      <w:r w:rsidRPr="00032367">
        <w:rPr>
          <w:rFonts w:cs="Times New Roman"/>
          <w:color w:val="000000" w:themeColor="text1"/>
        </w:rPr>
        <w:t xml:space="preserve"> The court ultimately found that the IRS failed to include relevant data in the administrative record for indicating micro</w:t>
      </w:r>
      <w:r>
        <w:rPr>
          <w:rFonts w:cs="Times New Roman"/>
          <w:color w:val="000000" w:themeColor="text1"/>
        </w:rPr>
        <w:t>-captives</w:t>
      </w:r>
      <w:r w:rsidRPr="00032367">
        <w:rPr>
          <w:rFonts w:cs="Times New Roman"/>
          <w:color w:val="000000" w:themeColor="text1"/>
        </w:rPr>
        <w:t xml:space="preserve"> as transactions of interest, which are reportable transactions.</w:t>
      </w:r>
      <w:r w:rsidRPr="00032367">
        <w:rPr>
          <w:rStyle w:val="FootnoteReference"/>
          <w:rFonts w:cs="Times New Roman"/>
          <w:color w:val="000000" w:themeColor="text1"/>
        </w:rPr>
        <w:footnoteReference w:id="125"/>
      </w:r>
      <w:r w:rsidRPr="00032367">
        <w:rPr>
          <w:rFonts w:cs="Times New Roman"/>
          <w:color w:val="000000" w:themeColor="text1"/>
        </w:rPr>
        <w:t xml:space="preserve"> The court looked explicitly at the language used in Notice 2016-66 and other evidence from the IRS, such as cases, news releases, and federal statutes.</w:t>
      </w:r>
      <w:r w:rsidRPr="00032367">
        <w:rPr>
          <w:rStyle w:val="FootnoteReference"/>
          <w:rFonts w:cs="Times New Roman"/>
          <w:color w:val="000000" w:themeColor="text1"/>
        </w:rPr>
        <w:footnoteReference w:id="126"/>
      </w:r>
    </w:p>
    <w:p w14:paraId="19B66EEC" w14:textId="6A5B785C" w:rsidR="005B517A" w:rsidRPr="00032367" w:rsidRDefault="005B517A" w:rsidP="00F575C3">
      <w:pPr>
        <w:rPr>
          <w:rFonts w:cs="Times New Roman"/>
          <w:color w:val="000000" w:themeColor="text1"/>
        </w:rPr>
      </w:pPr>
      <w:r w:rsidRPr="00032367">
        <w:rPr>
          <w:rFonts w:cs="Times New Roman"/>
          <w:color w:val="000000" w:themeColor="text1"/>
        </w:rPr>
        <w:t>The court honed in on the IRS</w:t>
      </w:r>
      <w:r w:rsidR="00375E05">
        <w:rPr>
          <w:rFonts w:cs="Times New Roman"/>
          <w:color w:val="000000" w:themeColor="text1"/>
        </w:rPr>
        <w:t>’</w:t>
      </w:r>
      <w:r w:rsidRPr="00032367">
        <w:rPr>
          <w:rFonts w:cs="Times New Roman"/>
          <w:color w:val="000000" w:themeColor="text1"/>
        </w:rPr>
        <w:t>s language in Notice 2016-66 for designating micro-captive transactions as transactions of interest.</w:t>
      </w:r>
      <w:r w:rsidRPr="00032367">
        <w:rPr>
          <w:rStyle w:val="FootnoteReference"/>
          <w:rFonts w:cs="Times New Roman"/>
          <w:color w:val="000000" w:themeColor="text1"/>
        </w:rPr>
        <w:footnoteReference w:id="127"/>
      </w:r>
      <w:r w:rsidRPr="00032367">
        <w:rPr>
          <w:rFonts w:cs="Times New Roman"/>
          <w:color w:val="000000" w:themeColor="text1"/>
        </w:rPr>
        <w:t xml:space="preserve"> The IRS seemingly used general language</w:t>
      </w:r>
      <w:r w:rsidR="00750FAE">
        <w:rPr>
          <w:rFonts w:cs="Times New Roman"/>
          <w:color w:val="000000" w:themeColor="text1"/>
        </w:rPr>
        <w:t>,</w:t>
      </w:r>
      <w:r w:rsidRPr="00032367">
        <w:rPr>
          <w:rFonts w:cs="Times New Roman"/>
          <w:color w:val="000000" w:themeColor="text1"/>
        </w:rPr>
        <w:t xml:space="preserve"> such as stating that they “are </w:t>
      </w:r>
      <w:r w:rsidRPr="00032367">
        <w:rPr>
          <w:rFonts w:cs="Times New Roman"/>
          <w:i/>
          <w:iCs/>
          <w:color w:val="000000" w:themeColor="text1"/>
        </w:rPr>
        <w:t>aware</w:t>
      </w:r>
      <w:r w:rsidRPr="00032367">
        <w:rPr>
          <w:rFonts w:cs="Times New Roman"/>
          <w:color w:val="000000" w:themeColor="text1"/>
        </w:rPr>
        <w:t xml:space="preserve"> of a type of transaction” and “believe this transaction ([‘]micro-captive transaction</w:t>
      </w:r>
      <w:r w:rsidR="00750FAE">
        <w:rPr>
          <w:rFonts w:cs="Times New Roman"/>
          <w:color w:val="000000" w:themeColor="text1"/>
        </w:rPr>
        <w:t>[’</w:t>
      </w:r>
      <w:r w:rsidRPr="00032367">
        <w:rPr>
          <w:rFonts w:cs="Times New Roman"/>
          <w:color w:val="000000" w:themeColor="text1"/>
        </w:rPr>
        <w:t xml:space="preserve">]) has a </w:t>
      </w:r>
      <w:r w:rsidRPr="00032367">
        <w:rPr>
          <w:rFonts w:cs="Times New Roman"/>
          <w:i/>
          <w:iCs/>
          <w:color w:val="000000" w:themeColor="text1"/>
        </w:rPr>
        <w:t>potential</w:t>
      </w:r>
      <w:r w:rsidRPr="00032367">
        <w:rPr>
          <w:rFonts w:cs="Times New Roman"/>
          <w:color w:val="000000" w:themeColor="text1"/>
        </w:rPr>
        <w:t xml:space="preserve"> for tax avoidance or evasion.”’</w:t>
      </w:r>
      <w:r w:rsidRPr="00032367">
        <w:rPr>
          <w:rStyle w:val="FootnoteReference"/>
          <w:rFonts w:cs="Times New Roman"/>
          <w:color w:val="000000" w:themeColor="text1"/>
        </w:rPr>
        <w:footnoteReference w:id="128"/>
      </w:r>
      <w:r w:rsidRPr="00032367">
        <w:rPr>
          <w:rFonts w:cs="Times New Roman"/>
          <w:color w:val="000000" w:themeColor="text1"/>
        </w:rPr>
        <w:t xml:space="preserve"> Further, the IRS and Department of Treasury stated that they “</w:t>
      </w:r>
      <w:r w:rsidRPr="00032367">
        <w:rPr>
          <w:rFonts w:cs="Times New Roman"/>
          <w:i/>
          <w:iCs/>
          <w:color w:val="000000" w:themeColor="text1"/>
        </w:rPr>
        <w:t>lack[ed]</w:t>
      </w:r>
      <w:r w:rsidRPr="00032367">
        <w:rPr>
          <w:rFonts w:cs="Times New Roman"/>
          <w:color w:val="000000" w:themeColor="text1"/>
        </w:rPr>
        <w:t xml:space="preserve"> </w:t>
      </w:r>
      <w:r w:rsidRPr="00032367">
        <w:rPr>
          <w:rFonts w:cs="Times New Roman"/>
          <w:i/>
          <w:iCs/>
          <w:color w:val="000000" w:themeColor="text1"/>
        </w:rPr>
        <w:t>sufficient</w:t>
      </w:r>
      <w:r w:rsidRPr="00032367">
        <w:rPr>
          <w:rFonts w:cs="Times New Roman"/>
          <w:color w:val="000000" w:themeColor="text1"/>
        </w:rPr>
        <w:t xml:space="preserve"> information to identify which § 831(b) arrangements should be identified specifically as a tax avoidance transaction and </w:t>
      </w:r>
      <w:r w:rsidRPr="00032367">
        <w:rPr>
          <w:rFonts w:cs="Times New Roman"/>
          <w:i/>
          <w:iCs/>
          <w:color w:val="000000" w:themeColor="text1"/>
        </w:rPr>
        <w:t>may lack sufficient</w:t>
      </w:r>
      <w:r w:rsidRPr="00032367">
        <w:rPr>
          <w:rFonts w:cs="Times New Roman"/>
          <w:color w:val="000000" w:themeColor="text1"/>
        </w:rPr>
        <w:t xml:space="preserve"> information to define the characteristics that distinguish the tax avoidance transactions from other § 831(b) related-party transactions.”</w:t>
      </w:r>
      <w:r w:rsidRPr="00032367">
        <w:rPr>
          <w:rStyle w:val="FootnoteReference"/>
          <w:rFonts w:cs="Times New Roman"/>
          <w:color w:val="000000" w:themeColor="text1"/>
        </w:rPr>
        <w:footnoteReference w:id="129"/>
      </w:r>
      <w:r w:rsidRPr="00032367">
        <w:rPr>
          <w:rFonts w:cs="Times New Roman"/>
          <w:color w:val="000000" w:themeColor="text1"/>
        </w:rPr>
        <w:t xml:space="preserve"> Essentially, the court noted that the IRS has confessed that it has no clear reasoning other than hopeful beliefs and suspicions.</w:t>
      </w:r>
      <w:r w:rsidRPr="00032367">
        <w:rPr>
          <w:rStyle w:val="FootnoteReference"/>
          <w:rFonts w:cs="Times New Roman"/>
          <w:color w:val="000000" w:themeColor="text1"/>
        </w:rPr>
        <w:footnoteReference w:id="130"/>
      </w:r>
      <w:r w:rsidRPr="00032367">
        <w:rPr>
          <w:rFonts w:cs="Times New Roman"/>
          <w:color w:val="000000" w:themeColor="text1"/>
        </w:rPr>
        <w:t xml:space="preserve"> The IRS’</w:t>
      </w:r>
      <w:r w:rsidR="00375E05">
        <w:rPr>
          <w:rFonts w:cs="Times New Roman"/>
          <w:color w:val="000000" w:themeColor="text1"/>
        </w:rPr>
        <w:t>s</w:t>
      </w:r>
      <w:r w:rsidRPr="00032367">
        <w:rPr>
          <w:rFonts w:cs="Times New Roman"/>
          <w:color w:val="000000" w:themeColor="text1"/>
        </w:rPr>
        <w:t xml:space="preserve"> concern must be accompanied by relevant data or facts, which were not present in the administrative record in Notice 2016-66.</w:t>
      </w:r>
      <w:r w:rsidRPr="00032367">
        <w:rPr>
          <w:rStyle w:val="FootnoteReference"/>
          <w:rFonts w:cs="Times New Roman"/>
          <w:color w:val="000000" w:themeColor="text1"/>
        </w:rPr>
        <w:footnoteReference w:id="131"/>
      </w:r>
    </w:p>
    <w:p w14:paraId="06CA1B5F" w14:textId="7226E72B" w:rsidR="005B517A" w:rsidRPr="00032367" w:rsidRDefault="005B517A" w:rsidP="00F575C3">
      <w:pPr>
        <w:rPr>
          <w:rFonts w:cs="Times New Roman"/>
          <w:color w:val="000000" w:themeColor="text1"/>
        </w:rPr>
      </w:pPr>
      <w:r w:rsidRPr="00032367">
        <w:rPr>
          <w:rFonts w:cs="Times New Roman"/>
          <w:color w:val="000000" w:themeColor="text1"/>
        </w:rPr>
        <w:t>The IRS then pointed to litigation cases with some of these transactions.</w:t>
      </w:r>
      <w:r w:rsidRPr="00032367">
        <w:rPr>
          <w:rStyle w:val="FootnoteReference"/>
          <w:rFonts w:cs="Times New Roman"/>
          <w:color w:val="000000" w:themeColor="text1"/>
        </w:rPr>
        <w:footnoteReference w:id="132"/>
      </w:r>
      <w:r w:rsidRPr="00032367">
        <w:rPr>
          <w:rFonts w:cs="Times New Roman"/>
          <w:color w:val="000000" w:themeColor="text1"/>
        </w:rPr>
        <w:t xml:space="preserve"> Still, the court noted that these cases failed to sway them because not all of them focused on micro-captive transactions, and not all concluded that they were abusive transactions.</w:t>
      </w:r>
      <w:r w:rsidRPr="00032367">
        <w:rPr>
          <w:rStyle w:val="FootnoteReference"/>
          <w:rFonts w:cs="Times New Roman"/>
          <w:color w:val="000000" w:themeColor="text1"/>
        </w:rPr>
        <w:footnoteReference w:id="133"/>
      </w:r>
      <w:r w:rsidRPr="00032367">
        <w:rPr>
          <w:rFonts w:cs="Times New Roman"/>
          <w:color w:val="000000" w:themeColor="text1"/>
        </w:rPr>
        <w:t xml:space="preserve"> Additionally, the IRS had pointed to two IRS news releases, federal statutes, legislative history, and the </w:t>
      </w:r>
      <w:r w:rsidRPr="00032367">
        <w:rPr>
          <w:rFonts w:cs="Times New Roman"/>
          <w:color w:val="000000" w:themeColor="text1"/>
        </w:rPr>
        <w:lastRenderedPageBreak/>
        <w:t>IRS’</w:t>
      </w:r>
      <w:r w:rsidR="00375E05">
        <w:rPr>
          <w:rFonts w:cs="Times New Roman"/>
          <w:color w:val="000000" w:themeColor="text1"/>
        </w:rPr>
        <w:t>s</w:t>
      </w:r>
      <w:r w:rsidRPr="00032367">
        <w:rPr>
          <w:rFonts w:cs="Times New Roman"/>
          <w:color w:val="000000" w:themeColor="text1"/>
        </w:rPr>
        <w:t xml:space="preserve"> emails regarding the Notice.</w:t>
      </w:r>
      <w:r w:rsidRPr="00032367">
        <w:rPr>
          <w:rStyle w:val="FootnoteReference"/>
          <w:rFonts w:cs="Times New Roman"/>
          <w:color w:val="000000" w:themeColor="text1"/>
        </w:rPr>
        <w:footnoteReference w:id="134"/>
      </w:r>
      <w:r w:rsidRPr="00032367">
        <w:rPr>
          <w:rFonts w:cs="Times New Roman"/>
          <w:color w:val="000000" w:themeColor="text1"/>
        </w:rPr>
        <w:t xml:space="preserve"> </w:t>
      </w:r>
      <w:r>
        <w:rPr>
          <w:rFonts w:cs="Times New Roman"/>
          <w:color w:val="000000" w:themeColor="text1"/>
        </w:rPr>
        <w:t>T</w:t>
      </w:r>
      <w:r w:rsidRPr="00032367">
        <w:rPr>
          <w:rFonts w:cs="Times New Roman"/>
          <w:color w:val="000000" w:themeColor="text1"/>
        </w:rPr>
        <w:t>his IRS argument failed because the IRS did not substantiate how these were relevant in its decision-making.</w:t>
      </w:r>
      <w:r w:rsidRPr="00032367">
        <w:rPr>
          <w:rStyle w:val="FootnoteReference"/>
          <w:rFonts w:cs="Times New Roman"/>
          <w:color w:val="000000" w:themeColor="text1"/>
        </w:rPr>
        <w:footnoteReference w:id="135"/>
      </w:r>
      <w:r w:rsidRPr="00032367">
        <w:rPr>
          <w:rFonts w:cs="Times New Roman"/>
          <w:color w:val="000000" w:themeColor="text1"/>
        </w:rPr>
        <w:t xml:space="preserve"> </w:t>
      </w:r>
    </w:p>
    <w:p w14:paraId="1288B181" w14:textId="77777777" w:rsidR="005B517A" w:rsidRPr="00032367" w:rsidRDefault="005B517A" w:rsidP="00F575C3">
      <w:pPr>
        <w:rPr>
          <w:rFonts w:cs="Times New Roman"/>
          <w:color w:val="000000" w:themeColor="text1"/>
        </w:rPr>
      </w:pPr>
      <w:r w:rsidRPr="00032367">
        <w:rPr>
          <w:rFonts w:cs="Times New Roman"/>
          <w:color w:val="000000" w:themeColor="text1"/>
        </w:rPr>
        <w:t>Ultimately, the court looked for relevant facts and data, but the IRS had none to show in its administrative record, which is vital when issuing a regulation.</w:t>
      </w:r>
      <w:r w:rsidRPr="00032367">
        <w:rPr>
          <w:rStyle w:val="FootnoteReference"/>
          <w:rFonts w:cs="Times New Roman"/>
          <w:color w:val="000000" w:themeColor="text1"/>
        </w:rPr>
        <w:footnoteReference w:id="136"/>
      </w:r>
      <w:r w:rsidRPr="00032367">
        <w:rPr>
          <w:rFonts w:cs="Times New Roman"/>
          <w:color w:val="000000" w:themeColor="text1"/>
        </w:rPr>
        <w:t xml:space="preserve"> While this does not mean that micro-captive transactions can never be abusive transactions, the IRS still ultimately failed to disprove that Notice 2016-66 was promulgated arbitrarily and capriciously.</w:t>
      </w:r>
      <w:r w:rsidRPr="00032367">
        <w:rPr>
          <w:rStyle w:val="FootnoteReference"/>
          <w:rFonts w:cs="Times New Roman"/>
          <w:color w:val="000000" w:themeColor="text1"/>
        </w:rPr>
        <w:footnoteReference w:id="137"/>
      </w:r>
      <w:r w:rsidRPr="00032367">
        <w:rPr>
          <w:rFonts w:cs="Times New Roman"/>
          <w:color w:val="000000" w:themeColor="text1"/>
        </w:rPr>
        <w:t xml:space="preserve"> </w:t>
      </w:r>
    </w:p>
    <w:p w14:paraId="210E58DD" w14:textId="77777777" w:rsidR="005B517A" w:rsidRPr="00CA268D" w:rsidRDefault="005B517A" w:rsidP="00CC2D68">
      <w:pPr>
        <w:pStyle w:val="Heading4"/>
      </w:pPr>
      <w:bookmarkStart w:id="24" w:name="_Toc158623008"/>
      <w:r w:rsidRPr="00CA268D">
        <w:t>The Relief</w:t>
      </w:r>
      <w:bookmarkEnd w:id="24"/>
    </w:p>
    <w:p w14:paraId="29164A2E" w14:textId="52254F1E" w:rsidR="008C5B4A" w:rsidRPr="00032367" w:rsidRDefault="005B517A" w:rsidP="00F575C3">
      <w:pPr>
        <w:rPr>
          <w:rFonts w:cs="Times New Roman"/>
          <w:color w:val="000000" w:themeColor="text1"/>
        </w:rPr>
      </w:pPr>
      <w:r w:rsidRPr="00032367">
        <w:rPr>
          <w:rFonts w:cs="Times New Roman"/>
          <w:color w:val="000000" w:themeColor="text1"/>
        </w:rPr>
        <w:t>Since the IRS failed to complete the notice-and-comment procedures and issued Notice 2016-66 arbitrarily and capriciously, the court had to administer the appropriate relief, which was to invalidate and set aside Notice 2016-66 and destroy the material taken already by the IRS.</w:t>
      </w:r>
      <w:r w:rsidRPr="00032367">
        <w:rPr>
          <w:rStyle w:val="FootnoteReference"/>
          <w:rFonts w:cs="Times New Roman"/>
          <w:color w:val="000000" w:themeColor="text1"/>
        </w:rPr>
        <w:footnoteReference w:id="138"/>
      </w:r>
      <w:r w:rsidRPr="00032367">
        <w:rPr>
          <w:rFonts w:cs="Times New Roman"/>
          <w:color w:val="000000" w:themeColor="text1"/>
        </w:rPr>
        <w:t xml:space="preserve"> The APA’s text allows a reviewing court to “hold unlawful and set aside agency action” when </w:t>
      </w:r>
      <w:r w:rsidR="00750FAE">
        <w:rPr>
          <w:rFonts w:cs="Times New Roman"/>
          <w:color w:val="000000" w:themeColor="text1"/>
        </w:rPr>
        <w:t xml:space="preserve">it is </w:t>
      </w:r>
      <w:r w:rsidRPr="00032367">
        <w:rPr>
          <w:rFonts w:cs="Times New Roman"/>
          <w:color w:val="000000" w:themeColor="text1"/>
        </w:rPr>
        <w:t>found to be arbitrary and capricious.</w:t>
      </w:r>
      <w:r w:rsidRPr="00032367">
        <w:rPr>
          <w:rStyle w:val="FootnoteReference"/>
          <w:rFonts w:cs="Times New Roman"/>
          <w:color w:val="000000" w:themeColor="text1"/>
        </w:rPr>
        <w:footnoteReference w:id="139"/>
      </w:r>
      <w:r w:rsidRPr="00032367">
        <w:rPr>
          <w:rFonts w:cs="Times New Roman"/>
          <w:color w:val="000000" w:themeColor="text1"/>
        </w:rPr>
        <w:t xml:space="preserve"> While the Sixth Circuit held that it must invalidate the action,</w:t>
      </w:r>
      <w:r w:rsidRPr="00032367">
        <w:rPr>
          <w:rStyle w:val="FootnoteReference"/>
          <w:rFonts w:cs="Times New Roman"/>
          <w:color w:val="000000" w:themeColor="text1"/>
        </w:rPr>
        <w:footnoteReference w:id="140"/>
      </w:r>
      <w:r w:rsidRPr="00032367">
        <w:rPr>
          <w:rFonts w:cs="Times New Roman"/>
          <w:color w:val="000000" w:themeColor="text1"/>
        </w:rPr>
        <w:t xml:space="preserve"> the court noted that the United States Court of Appeals for the District of Columbia held that it “depends on the seriousness of the order</w:t>
      </w:r>
      <w:r w:rsidR="00C74897">
        <w:rPr>
          <w:rFonts w:cs="Times New Roman"/>
          <w:color w:val="000000" w:themeColor="text1"/>
        </w:rPr>
        <w:t>’</w:t>
      </w:r>
      <w:r w:rsidRPr="00032367">
        <w:rPr>
          <w:rFonts w:cs="Times New Roman"/>
          <w:color w:val="000000" w:themeColor="text1"/>
        </w:rPr>
        <w:t>s deficiencies</w:t>
      </w:r>
      <w:r w:rsidR="00F92C9A">
        <w:rPr>
          <w:rFonts w:cs="Times New Roman"/>
          <w:color w:val="000000" w:themeColor="text1"/>
        </w:rPr>
        <w:t xml:space="preserve"> </w:t>
      </w:r>
      <w:r w:rsidRPr="00032367">
        <w:rPr>
          <w:rFonts w:cs="Times New Roman"/>
          <w:color w:val="000000" w:themeColor="text1"/>
        </w:rPr>
        <w:t>. . . .”</w:t>
      </w:r>
      <w:r w:rsidRPr="00032367">
        <w:rPr>
          <w:rStyle w:val="FootnoteReference"/>
          <w:rFonts w:cs="Times New Roman"/>
          <w:color w:val="000000" w:themeColor="text1"/>
        </w:rPr>
        <w:footnoteReference w:id="141"/>
      </w:r>
      <w:r w:rsidRPr="00032367">
        <w:rPr>
          <w:rFonts w:cs="Times New Roman"/>
          <w:color w:val="000000" w:themeColor="text1"/>
        </w:rPr>
        <w:t xml:space="preserve"> While the court in this case did not specify what it deemed was the most consistent approach, the court found that vacating Notice 2016-66 </w:t>
      </w:r>
      <w:r w:rsidR="00750FAE">
        <w:rPr>
          <w:rFonts w:cs="Times New Roman"/>
          <w:color w:val="000000" w:themeColor="text1"/>
        </w:rPr>
        <w:t>was</w:t>
      </w:r>
      <w:r w:rsidRPr="00032367">
        <w:rPr>
          <w:rFonts w:cs="Times New Roman"/>
          <w:color w:val="000000" w:themeColor="text1"/>
        </w:rPr>
        <w:t xml:space="preserve"> appropriate.</w:t>
      </w:r>
      <w:r w:rsidRPr="00032367">
        <w:rPr>
          <w:rStyle w:val="FootnoteReference"/>
          <w:rFonts w:cs="Times New Roman"/>
          <w:color w:val="000000" w:themeColor="text1"/>
        </w:rPr>
        <w:footnoteReference w:id="142"/>
      </w:r>
      <w:r w:rsidRPr="00032367">
        <w:rPr>
          <w:rFonts w:cs="Times New Roman"/>
          <w:color w:val="000000" w:themeColor="text1"/>
        </w:rPr>
        <w:t xml:space="preserve"> The court would not give the IRS the benefit of keeping Notice 2016-66 in place while it took necessary actions to comply with the APA due to the IRS’</w:t>
      </w:r>
      <w:r w:rsidR="00375E05">
        <w:rPr>
          <w:rFonts w:cs="Times New Roman"/>
          <w:color w:val="000000" w:themeColor="text1"/>
        </w:rPr>
        <w:t>s</w:t>
      </w:r>
      <w:r w:rsidRPr="00032367">
        <w:rPr>
          <w:rFonts w:cs="Times New Roman"/>
          <w:color w:val="000000" w:themeColor="text1"/>
        </w:rPr>
        <w:t xml:space="preserve"> poor history of complying with the APA.</w:t>
      </w:r>
      <w:r w:rsidRPr="00032367">
        <w:rPr>
          <w:rStyle w:val="FootnoteReference"/>
          <w:rFonts w:cs="Times New Roman"/>
          <w:color w:val="000000" w:themeColor="text1"/>
        </w:rPr>
        <w:footnoteReference w:id="143"/>
      </w:r>
      <w:r w:rsidRPr="00032367">
        <w:rPr>
          <w:rFonts w:cs="Times New Roman"/>
          <w:color w:val="000000" w:themeColor="text1"/>
        </w:rPr>
        <w:t xml:space="preserve"> </w:t>
      </w:r>
      <w:r>
        <w:rPr>
          <w:rFonts w:cs="Times New Roman"/>
          <w:color w:val="000000" w:themeColor="text1"/>
        </w:rPr>
        <w:t>T</w:t>
      </w:r>
      <w:r w:rsidRPr="00032367">
        <w:rPr>
          <w:rFonts w:cs="Times New Roman"/>
          <w:color w:val="000000" w:themeColor="text1"/>
        </w:rPr>
        <w:t>his would not be the sole remedy</w:t>
      </w:r>
      <w:r w:rsidR="003913E2">
        <w:rPr>
          <w:rFonts w:cs="Times New Roman"/>
          <w:color w:val="000000" w:themeColor="text1"/>
        </w:rPr>
        <w:t>,</w:t>
      </w:r>
      <w:r w:rsidRPr="00032367">
        <w:rPr>
          <w:rFonts w:cs="Times New Roman"/>
          <w:color w:val="000000" w:themeColor="text1"/>
        </w:rPr>
        <w:t xml:space="preserve"> as the court noted how the taxpayers and material advisors expended time and resources for the past four years, whereby the IRS gained information that it was not entitled to receive.</w:t>
      </w:r>
      <w:r w:rsidRPr="00032367">
        <w:rPr>
          <w:rStyle w:val="FootnoteReference"/>
          <w:rFonts w:cs="Times New Roman"/>
          <w:color w:val="000000" w:themeColor="text1"/>
        </w:rPr>
        <w:footnoteReference w:id="144"/>
      </w:r>
      <w:r w:rsidRPr="00032367">
        <w:rPr>
          <w:rFonts w:cs="Times New Roman"/>
          <w:color w:val="000000" w:themeColor="text1"/>
        </w:rPr>
        <w:t xml:space="preserve"> Therefore, the IRS had to return the information it wrongfully acquired, in addition to the court invalidating and setting aside Notice 2016-66.</w:t>
      </w:r>
      <w:r w:rsidRPr="00032367">
        <w:rPr>
          <w:rStyle w:val="FootnoteReference"/>
          <w:rFonts w:cs="Times New Roman"/>
          <w:color w:val="000000" w:themeColor="text1"/>
        </w:rPr>
        <w:footnoteReference w:id="145"/>
      </w:r>
    </w:p>
    <w:p w14:paraId="7CED3A0A" w14:textId="0A4E024F" w:rsidR="005B517A" w:rsidRPr="00AA055E" w:rsidRDefault="005B517A" w:rsidP="00C242D9">
      <w:pPr>
        <w:pStyle w:val="Heading1"/>
        <w:rPr>
          <w:smallCaps w:val="0"/>
        </w:rPr>
      </w:pPr>
      <w:bookmarkStart w:id="25" w:name="_Toc158623009"/>
      <w:r w:rsidRPr="00AA055E">
        <w:lastRenderedPageBreak/>
        <w:t xml:space="preserve">The New </w:t>
      </w:r>
      <w:r w:rsidRPr="00CC2D68">
        <w:t>Proposed</w:t>
      </w:r>
      <w:r w:rsidRPr="00AA055E">
        <w:t xml:space="preserve"> Regulations</w:t>
      </w:r>
      <w:bookmarkEnd w:id="25"/>
    </w:p>
    <w:p w14:paraId="33D897D5" w14:textId="77777777" w:rsidR="005B517A" w:rsidRPr="00032367" w:rsidRDefault="005B517A" w:rsidP="00F575C3">
      <w:pPr>
        <w:rPr>
          <w:rFonts w:cs="Times New Roman"/>
          <w:color w:val="000000" w:themeColor="text1"/>
        </w:rPr>
      </w:pPr>
      <w:r w:rsidRPr="00032367">
        <w:rPr>
          <w:rFonts w:cs="Times New Roman"/>
          <w:color w:val="000000" w:themeColor="text1"/>
        </w:rPr>
        <w:t xml:space="preserve">After the decision in </w:t>
      </w:r>
      <w:r w:rsidRPr="00032367">
        <w:rPr>
          <w:rFonts w:cs="Times New Roman"/>
          <w:i/>
          <w:iCs/>
          <w:color w:val="000000" w:themeColor="text1"/>
        </w:rPr>
        <w:t>CIC Services</w:t>
      </w:r>
      <w:r w:rsidRPr="00032367">
        <w:rPr>
          <w:rFonts w:cs="Times New Roman"/>
          <w:color w:val="000000" w:themeColor="text1"/>
        </w:rPr>
        <w:t>, the IRS decided not to enforce the disclosure requirements or penalties dependent upon Notice 2016-66.</w:t>
      </w:r>
      <w:r w:rsidRPr="00032367">
        <w:rPr>
          <w:rStyle w:val="FootnoteReference"/>
          <w:rFonts w:cs="Times New Roman"/>
          <w:color w:val="000000" w:themeColor="text1"/>
        </w:rPr>
        <w:footnoteReference w:id="146"/>
      </w:r>
      <w:r w:rsidRPr="00032367">
        <w:rPr>
          <w:rFonts w:cs="Times New Roman"/>
          <w:color w:val="000000" w:themeColor="text1"/>
        </w:rPr>
        <w:t xml:space="preserve"> Instead, the IRS and Department of Treasury issued proposed regulations to identify </w:t>
      </w:r>
      <w:r>
        <w:rPr>
          <w:rFonts w:cs="Times New Roman"/>
          <w:color w:val="000000" w:themeColor="text1"/>
        </w:rPr>
        <w:t xml:space="preserve">certain </w:t>
      </w:r>
      <w:r w:rsidRPr="00032367">
        <w:rPr>
          <w:rFonts w:cs="Times New Roman"/>
          <w:color w:val="000000" w:themeColor="text1"/>
        </w:rPr>
        <w:t xml:space="preserve">micro-captive transactions as listed transactions and </w:t>
      </w:r>
      <w:r>
        <w:rPr>
          <w:rFonts w:cs="Times New Roman"/>
          <w:color w:val="000000" w:themeColor="text1"/>
        </w:rPr>
        <w:t xml:space="preserve">certain others as </w:t>
      </w:r>
      <w:r w:rsidRPr="00032367">
        <w:rPr>
          <w:rFonts w:cs="Times New Roman"/>
          <w:color w:val="000000" w:themeColor="text1"/>
        </w:rPr>
        <w:t>transactions of interest.</w:t>
      </w:r>
      <w:r w:rsidRPr="00032367">
        <w:rPr>
          <w:rStyle w:val="FootnoteReference"/>
          <w:rFonts w:cs="Times New Roman"/>
          <w:color w:val="000000" w:themeColor="text1"/>
        </w:rPr>
        <w:footnoteReference w:id="147"/>
      </w:r>
      <w:r w:rsidRPr="00032367">
        <w:rPr>
          <w:rFonts w:cs="Times New Roman"/>
          <w:color w:val="000000" w:themeColor="text1"/>
        </w:rPr>
        <w:t xml:space="preserve"> While Notice 2016-66 may be procedurally obsolete, it substantively lives on in these proposed regulations with some additional changes.</w:t>
      </w:r>
      <w:r w:rsidRPr="00032367">
        <w:rPr>
          <w:rStyle w:val="FootnoteReference"/>
          <w:rFonts w:cs="Times New Roman"/>
          <w:color w:val="000000" w:themeColor="text1"/>
        </w:rPr>
        <w:footnoteReference w:id="148"/>
      </w:r>
    </w:p>
    <w:p w14:paraId="17458625" w14:textId="77777777" w:rsidR="005B517A" w:rsidRPr="00D821CD" w:rsidRDefault="005B517A" w:rsidP="00CC2D68">
      <w:pPr>
        <w:pStyle w:val="Heading2"/>
      </w:pPr>
      <w:bookmarkStart w:id="26" w:name="_Toc158623010"/>
      <w:r>
        <w:t xml:space="preserve">Certain </w:t>
      </w:r>
      <w:r w:rsidRPr="00D821CD">
        <w:t xml:space="preserve">Micro-Captive Transactions Are Now Listed </w:t>
      </w:r>
      <w:r w:rsidRPr="00CC2D68">
        <w:t>Transactions</w:t>
      </w:r>
      <w:bookmarkEnd w:id="26"/>
    </w:p>
    <w:p w14:paraId="61380305" w14:textId="77777777" w:rsidR="005B517A" w:rsidRPr="00032367" w:rsidRDefault="005B517A" w:rsidP="00357836">
      <w:pPr>
        <w:rPr>
          <w:rFonts w:cs="Times New Roman"/>
          <w:color w:val="000000" w:themeColor="text1"/>
        </w:rPr>
      </w:pPr>
      <w:r w:rsidRPr="00032367">
        <w:rPr>
          <w:rFonts w:cs="Times New Roman"/>
          <w:color w:val="000000" w:themeColor="text1"/>
        </w:rPr>
        <w:t>Certain micro-captive transactions will now be divided into two categories: (1) listed transactions and (2) transactions of interest</w:t>
      </w:r>
      <w:r w:rsidRPr="00032367">
        <w:rPr>
          <w:rStyle w:val="FootnoteReference"/>
          <w:rFonts w:cs="Times New Roman"/>
          <w:color w:val="000000" w:themeColor="text1"/>
        </w:rPr>
        <w:footnoteReference w:id="149"/>
      </w:r>
      <w:r w:rsidRPr="00032367">
        <w:rPr>
          <w:rFonts w:cs="Times New Roman"/>
          <w:color w:val="000000" w:themeColor="text1"/>
        </w:rPr>
        <w:t xml:space="preserve"> instead of solely transactions of interest.</w:t>
      </w:r>
      <w:r w:rsidRPr="00032367">
        <w:rPr>
          <w:rStyle w:val="FootnoteReference"/>
          <w:rFonts w:cs="Times New Roman"/>
          <w:color w:val="000000" w:themeColor="text1"/>
        </w:rPr>
        <w:footnoteReference w:id="150"/>
      </w:r>
      <w:r w:rsidRPr="00032367">
        <w:rPr>
          <w:rFonts w:cs="Times New Roman"/>
          <w:color w:val="000000" w:themeColor="text1"/>
        </w:rPr>
        <w:t xml:space="preserve"> Both transactions will involve direct or indirect ownership over a captive, which may include a derivative interest.</w:t>
      </w:r>
      <w:r w:rsidRPr="00032367">
        <w:rPr>
          <w:rStyle w:val="FootnoteReference"/>
          <w:rFonts w:cs="Times New Roman"/>
          <w:color w:val="000000" w:themeColor="text1"/>
        </w:rPr>
        <w:footnoteReference w:id="151"/>
      </w:r>
      <w:r w:rsidRPr="00032367">
        <w:rPr>
          <w:rFonts w:cs="Times New Roman"/>
          <w:color w:val="000000" w:themeColor="text1"/>
        </w:rPr>
        <w:t xml:space="preserve"> </w:t>
      </w:r>
      <w:r>
        <w:rPr>
          <w:rFonts w:cs="Times New Roman"/>
          <w:color w:val="000000" w:themeColor="text1"/>
        </w:rPr>
        <w:t>T</w:t>
      </w:r>
      <w:r w:rsidRPr="00032367">
        <w:rPr>
          <w:rFonts w:cs="Times New Roman"/>
          <w:color w:val="000000" w:themeColor="text1"/>
        </w:rPr>
        <w:t>he IRS deemed two features of micro-captive transactions as triggering a listed transaction designation, both of which were initially considered features of transactions of interest.</w:t>
      </w:r>
      <w:r w:rsidRPr="00032367">
        <w:rPr>
          <w:rStyle w:val="FootnoteReference"/>
          <w:rFonts w:cs="Times New Roman"/>
          <w:color w:val="000000" w:themeColor="text1"/>
        </w:rPr>
        <w:footnoteReference w:id="152"/>
      </w:r>
      <w:r w:rsidRPr="00032367">
        <w:rPr>
          <w:rFonts w:cs="Times New Roman"/>
          <w:color w:val="000000" w:themeColor="text1"/>
        </w:rPr>
        <w:t xml:space="preserve"> The first feature is focused on a financing factor,</w:t>
      </w:r>
      <w:r w:rsidRPr="00032367">
        <w:rPr>
          <w:rStyle w:val="FootnoteReference"/>
          <w:rFonts w:cs="Times New Roman"/>
          <w:color w:val="000000" w:themeColor="text1"/>
        </w:rPr>
        <w:footnoteReference w:id="153"/>
      </w:r>
      <w:r w:rsidRPr="00032367">
        <w:rPr>
          <w:rFonts w:cs="Times New Roman"/>
          <w:color w:val="000000" w:themeColor="text1"/>
        </w:rPr>
        <w:t xml:space="preserve"> while the second feature is determined by a loss ratio factor.</w:t>
      </w:r>
      <w:r w:rsidRPr="00032367">
        <w:rPr>
          <w:rStyle w:val="FootnoteReference"/>
          <w:rFonts w:cs="Times New Roman"/>
          <w:color w:val="000000" w:themeColor="text1"/>
        </w:rPr>
        <w:footnoteReference w:id="154"/>
      </w:r>
      <w:r w:rsidRPr="00032367">
        <w:rPr>
          <w:rFonts w:cs="Times New Roman"/>
          <w:color w:val="000000" w:themeColor="text1"/>
        </w:rPr>
        <w:t xml:space="preserve"> A micro-captive transaction lacking either of these factors will be deemed a transaction of interest whereby the IRS will require more information,</w:t>
      </w:r>
      <w:r w:rsidRPr="00032367">
        <w:rPr>
          <w:rStyle w:val="FootnoteReference"/>
          <w:rFonts w:cs="Times New Roman"/>
          <w:color w:val="000000" w:themeColor="text1"/>
        </w:rPr>
        <w:footnoteReference w:id="155"/>
      </w:r>
      <w:r w:rsidRPr="00032367">
        <w:rPr>
          <w:rFonts w:cs="Times New Roman"/>
          <w:color w:val="000000" w:themeColor="text1"/>
        </w:rPr>
        <w:t xml:space="preserve"> discussed below.</w:t>
      </w:r>
    </w:p>
    <w:p w14:paraId="3CD8BEE4" w14:textId="116FA447" w:rsidR="005B517A" w:rsidRPr="00032367" w:rsidRDefault="005B517A" w:rsidP="00357836">
      <w:pPr>
        <w:rPr>
          <w:rFonts w:cs="Times New Roman"/>
          <w:color w:val="000000" w:themeColor="text1"/>
        </w:rPr>
      </w:pPr>
      <w:r w:rsidRPr="00032367">
        <w:rPr>
          <w:rFonts w:cs="Times New Roman"/>
          <w:color w:val="000000" w:themeColor="text1"/>
        </w:rPr>
        <w:t xml:space="preserve">Under the Proposed Regulations, the IRS expanded Notice 2016-66’s definition of </w:t>
      </w:r>
      <w:r>
        <w:rPr>
          <w:rFonts w:cs="Times New Roman"/>
          <w:color w:val="000000" w:themeColor="text1"/>
        </w:rPr>
        <w:t>micro-</w:t>
      </w:r>
      <w:r w:rsidRPr="00032367">
        <w:rPr>
          <w:rFonts w:cs="Times New Roman"/>
          <w:color w:val="000000" w:themeColor="text1"/>
        </w:rPr>
        <w:t>captive ownership to ensure that it took into account derivatives and interests of the</w:t>
      </w:r>
      <w:r>
        <w:rPr>
          <w:rFonts w:cs="Times New Roman"/>
          <w:color w:val="000000" w:themeColor="text1"/>
        </w:rPr>
        <w:t xml:space="preserve"> micro-</w:t>
      </w:r>
      <w:r w:rsidRPr="00032367">
        <w:rPr>
          <w:rFonts w:cs="Times New Roman"/>
          <w:color w:val="000000" w:themeColor="text1"/>
        </w:rPr>
        <w:t>captive.</w:t>
      </w:r>
      <w:r w:rsidRPr="00032367">
        <w:rPr>
          <w:rStyle w:val="FootnoteReference"/>
          <w:rFonts w:cs="Times New Roman"/>
          <w:color w:val="000000" w:themeColor="text1"/>
        </w:rPr>
        <w:footnoteReference w:id="156"/>
      </w:r>
      <w:r w:rsidRPr="00032367">
        <w:rPr>
          <w:rFonts w:cs="Times New Roman"/>
          <w:color w:val="000000" w:themeColor="text1"/>
        </w:rPr>
        <w:t xml:space="preserve"> In keeping with Notice 2016-66, the Proposed Regulations maintain that ownership includes </w:t>
      </w:r>
      <w:r>
        <w:rPr>
          <w:rFonts w:cs="Times New Roman"/>
          <w:color w:val="000000" w:themeColor="text1"/>
        </w:rPr>
        <w:t>micro-</w:t>
      </w:r>
      <w:r w:rsidRPr="00032367">
        <w:rPr>
          <w:rFonts w:cs="Times New Roman"/>
          <w:color w:val="000000" w:themeColor="text1"/>
        </w:rPr>
        <w:lastRenderedPageBreak/>
        <w:t>captives with “20 percent” over at least “the voting power or the value of the outstanding stock or equity interest.”</w:t>
      </w:r>
      <w:r w:rsidRPr="00032367">
        <w:rPr>
          <w:rStyle w:val="FootnoteReference"/>
          <w:rFonts w:cs="Times New Roman"/>
          <w:color w:val="000000" w:themeColor="text1"/>
        </w:rPr>
        <w:footnoteReference w:id="157"/>
      </w:r>
      <w:r w:rsidRPr="00032367">
        <w:rPr>
          <w:rFonts w:cs="Times New Roman"/>
          <w:color w:val="000000" w:themeColor="text1"/>
        </w:rPr>
        <w:t xml:space="preserve"> In addition, the Proposed Regulations include those who attempt to hide ownership through derivatives or as beneficiaries from trusts and estates.</w:t>
      </w:r>
      <w:r w:rsidRPr="00032367">
        <w:rPr>
          <w:rStyle w:val="FootnoteReference"/>
          <w:rFonts w:cs="Times New Roman"/>
          <w:color w:val="000000" w:themeColor="text1"/>
        </w:rPr>
        <w:footnoteReference w:id="158"/>
      </w:r>
      <w:r w:rsidRPr="00032367">
        <w:rPr>
          <w:rFonts w:cs="Times New Roman"/>
          <w:color w:val="000000" w:themeColor="text1"/>
        </w:rPr>
        <w:t xml:space="preserve"> According to the IRS, this change will presumably ensure that </w:t>
      </w:r>
      <w:r w:rsidR="003913E2">
        <w:rPr>
          <w:rFonts w:cs="Times New Roman"/>
          <w:color w:val="000000" w:themeColor="text1"/>
        </w:rPr>
        <w:t>it</w:t>
      </w:r>
      <w:r w:rsidRPr="00032367">
        <w:rPr>
          <w:rFonts w:cs="Times New Roman"/>
          <w:color w:val="000000" w:themeColor="text1"/>
        </w:rPr>
        <w:t xml:space="preserve"> can track down those using the </w:t>
      </w:r>
      <w:r>
        <w:rPr>
          <w:rFonts w:cs="Times New Roman"/>
          <w:color w:val="000000" w:themeColor="text1"/>
        </w:rPr>
        <w:t>micro-</w:t>
      </w:r>
      <w:r w:rsidRPr="00032367">
        <w:rPr>
          <w:rFonts w:cs="Times New Roman"/>
          <w:color w:val="000000" w:themeColor="text1"/>
        </w:rPr>
        <w:t xml:space="preserve">captives as shams but </w:t>
      </w:r>
      <w:r w:rsidR="00750FAE">
        <w:rPr>
          <w:rFonts w:cs="Times New Roman"/>
          <w:color w:val="000000" w:themeColor="text1"/>
        </w:rPr>
        <w:t xml:space="preserve">who </w:t>
      </w:r>
      <w:r w:rsidRPr="00032367">
        <w:rPr>
          <w:rFonts w:cs="Times New Roman"/>
          <w:color w:val="000000" w:themeColor="text1"/>
        </w:rPr>
        <w:t>attempt to argue that they do not have ownership over a captive.</w:t>
      </w:r>
      <w:r w:rsidRPr="00032367">
        <w:rPr>
          <w:rStyle w:val="FootnoteReference"/>
          <w:rFonts w:cs="Times New Roman"/>
          <w:color w:val="000000" w:themeColor="text1"/>
        </w:rPr>
        <w:footnoteReference w:id="159"/>
      </w:r>
    </w:p>
    <w:p w14:paraId="62201621" w14:textId="5E5FD41A" w:rsidR="005B517A" w:rsidRPr="00032367" w:rsidRDefault="005B517A" w:rsidP="00357836">
      <w:pPr>
        <w:rPr>
          <w:rFonts w:cs="Times New Roman"/>
          <w:color w:val="000000" w:themeColor="text1"/>
        </w:rPr>
      </w:pPr>
      <w:r w:rsidRPr="00032367">
        <w:rPr>
          <w:rFonts w:cs="Times New Roman"/>
          <w:color w:val="000000" w:themeColor="text1"/>
        </w:rPr>
        <w:t>With the first feature, micro-captive transactions with a financing factor will now be deemed listed transactions.</w:t>
      </w:r>
      <w:r w:rsidRPr="00032367">
        <w:rPr>
          <w:rStyle w:val="FootnoteReference"/>
          <w:rFonts w:cs="Times New Roman"/>
          <w:color w:val="000000" w:themeColor="text1"/>
        </w:rPr>
        <w:footnoteReference w:id="160"/>
      </w:r>
      <w:r w:rsidRPr="00032367">
        <w:rPr>
          <w:rFonts w:cs="Times New Roman"/>
          <w:color w:val="000000" w:themeColor="text1"/>
        </w:rPr>
        <w:t xml:space="preserve"> A financing factor would include </w:t>
      </w:r>
      <w:r>
        <w:rPr>
          <w:rFonts w:cs="Times New Roman"/>
          <w:color w:val="000000" w:themeColor="text1"/>
        </w:rPr>
        <w:t>micro-</w:t>
      </w:r>
      <w:r w:rsidRPr="00032367">
        <w:rPr>
          <w:rFonts w:cs="Times New Roman"/>
          <w:color w:val="000000" w:themeColor="text1"/>
        </w:rPr>
        <w:t>captives that have financed, loaned, or guaranteed any amount to a recipient whereby the recipient received the money free of taxable income during the computation period.</w:t>
      </w:r>
      <w:r w:rsidRPr="00032367">
        <w:rPr>
          <w:rStyle w:val="FootnoteReference"/>
          <w:rFonts w:cs="Times New Roman"/>
          <w:color w:val="000000" w:themeColor="text1"/>
        </w:rPr>
        <w:footnoteReference w:id="161"/>
      </w:r>
      <w:r w:rsidRPr="00032367">
        <w:rPr>
          <w:rFonts w:cs="Times New Roman"/>
          <w:color w:val="000000" w:themeColor="text1"/>
        </w:rPr>
        <w:t xml:space="preserve"> The IRS has noted that the computation period would entail the most recent </w:t>
      </w:r>
      <w:r w:rsidR="003913E2">
        <w:rPr>
          <w:rFonts w:cs="Times New Roman"/>
          <w:color w:val="000000" w:themeColor="text1"/>
        </w:rPr>
        <w:t>five</w:t>
      </w:r>
      <w:r w:rsidRPr="00032367">
        <w:rPr>
          <w:rFonts w:cs="Times New Roman"/>
          <w:color w:val="000000" w:themeColor="text1"/>
        </w:rPr>
        <w:t xml:space="preserve"> years or all the taxable years if the </w:t>
      </w:r>
      <w:r>
        <w:rPr>
          <w:rFonts w:cs="Times New Roman"/>
          <w:color w:val="000000" w:themeColor="text1"/>
        </w:rPr>
        <w:t>micro-</w:t>
      </w:r>
      <w:r w:rsidRPr="00032367">
        <w:rPr>
          <w:rFonts w:cs="Times New Roman"/>
          <w:color w:val="000000" w:themeColor="text1"/>
        </w:rPr>
        <w:t xml:space="preserve">captive has existed for less than </w:t>
      </w:r>
      <w:r w:rsidR="003913E2">
        <w:rPr>
          <w:rFonts w:cs="Times New Roman"/>
          <w:color w:val="000000" w:themeColor="text1"/>
        </w:rPr>
        <w:t>five</w:t>
      </w:r>
      <w:r w:rsidRPr="00032367">
        <w:rPr>
          <w:rFonts w:cs="Times New Roman"/>
          <w:color w:val="000000" w:themeColor="text1"/>
        </w:rPr>
        <w:t xml:space="preserve"> taxable years.</w:t>
      </w:r>
      <w:r w:rsidRPr="00032367">
        <w:rPr>
          <w:rStyle w:val="FootnoteReference"/>
          <w:rFonts w:cs="Times New Roman"/>
          <w:color w:val="000000" w:themeColor="text1"/>
        </w:rPr>
        <w:footnoteReference w:id="162"/>
      </w:r>
      <w:r w:rsidRPr="00032367">
        <w:rPr>
          <w:rFonts w:cs="Times New Roman"/>
          <w:color w:val="000000" w:themeColor="text1"/>
        </w:rPr>
        <w:t xml:space="preserve"> Ultimately, the presence of a financing factor, according to the IRS, exemplifies a tax abuse sham or avoidance.</w:t>
      </w:r>
      <w:r w:rsidRPr="00032367">
        <w:rPr>
          <w:rStyle w:val="FootnoteReference"/>
          <w:rFonts w:cs="Times New Roman"/>
          <w:color w:val="000000" w:themeColor="text1"/>
        </w:rPr>
        <w:footnoteReference w:id="163"/>
      </w:r>
    </w:p>
    <w:p w14:paraId="03FDE003" w14:textId="5BFF7159" w:rsidR="005B517A" w:rsidRPr="00032367" w:rsidRDefault="005B517A" w:rsidP="00357836">
      <w:pPr>
        <w:rPr>
          <w:rFonts w:cs="Times New Roman"/>
          <w:color w:val="000000" w:themeColor="text1"/>
        </w:rPr>
      </w:pPr>
      <w:r w:rsidRPr="00032367">
        <w:rPr>
          <w:rFonts w:cs="Times New Roman"/>
          <w:color w:val="000000" w:themeColor="text1"/>
        </w:rPr>
        <w:t xml:space="preserve">With the second feature, micro-captive transactions with a </w:t>
      </w:r>
      <w:r>
        <w:rPr>
          <w:rFonts w:cs="Times New Roman"/>
          <w:color w:val="000000" w:themeColor="text1"/>
        </w:rPr>
        <w:t xml:space="preserve">certain </w:t>
      </w:r>
      <w:r w:rsidRPr="00032367">
        <w:rPr>
          <w:rFonts w:cs="Times New Roman"/>
          <w:color w:val="000000" w:themeColor="text1"/>
        </w:rPr>
        <w:t>loss ratio factor will now be deemed listed transactions.</w:t>
      </w:r>
      <w:r w:rsidRPr="00032367">
        <w:rPr>
          <w:rStyle w:val="FootnoteReference"/>
          <w:rFonts w:cs="Times New Roman"/>
          <w:color w:val="000000" w:themeColor="text1"/>
        </w:rPr>
        <w:footnoteReference w:id="164"/>
      </w:r>
      <w:r w:rsidRPr="00032367">
        <w:rPr>
          <w:rFonts w:cs="Times New Roman"/>
          <w:color w:val="000000" w:themeColor="text1"/>
        </w:rPr>
        <w:t xml:space="preserve"> The loss ratio factor exists when a </w:t>
      </w:r>
      <w:r>
        <w:rPr>
          <w:rFonts w:cs="Times New Roman"/>
          <w:color w:val="000000" w:themeColor="text1"/>
        </w:rPr>
        <w:t>micro-</w:t>
      </w:r>
      <w:r w:rsidRPr="00032367">
        <w:rPr>
          <w:rFonts w:cs="Times New Roman"/>
          <w:color w:val="000000" w:themeColor="text1"/>
        </w:rPr>
        <w:t>captive’s insured losses and claims for administration expenses during the loss computation period are less than 65% of the premiums earned, reduced by policyholder dividends paid during the same period.</w:t>
      </w:r>
      <w:r w:rsidRPr="00032367">
        <w:rPr>
          <w:rStyle w:val="FootnoteReference"/>
          <w:rFonts w:cs="Times New Roman"/>
          <w:color w:val="000000" w:themeColor="text1"/>
        </w:rPr>
        <w:footnoteReference w:id="165"/>
      </w:r>
      <w:r w:rsidRPr="00032367">
        <w:rPr>
          <w:rFonts w:cs="Times New Roman"/>
          <w:color w:val="000000" w:themeColor="text1"/>
        </w:rPr>
        <w:t xml:space="preserve"> Thus</w:t>
      </w:r>
      <w:r w:rsidR="00375E05">
        <w:rPr>
          <w:rFonts w:cs="Times New Roman"/>
          <w:color w:val="000000" w:themeColor="text1"/>
        </w:rPr>
        <w:t>,</w:t>
      </w:r>
      <w:r w:rsidRPr="00032367">
        <w:rPr>
          <w:rFonts w:cs="Times New Roman"/>
          <w:color w:val="000000" w:themeColor="text1"/>
        </w:rPr>
        <w:t xml:space="preserve"> the IRS reduced the original 70% loss ratio in Notice 2016-66 to 65%.</w:t>
      </w:r>
      <w:r w:rsidRPr="00032367">
        <w:rPr>
          <w:rStyle w:val="FootnoteReference"/>
          <w:rFonts w:cs="Times New Roman"/>
          <w:color w:val="000000" w:themeColor="text1"/>
        </w:rPr>
        <w:footnoteReference w:id="166"/>
      </w:r>
      <w:r w:rsidRPr="00032367">
        <w:rPr>
          <w:rFonts w:cs="Times New Roman"/>
          <w:color w:val="000000" w:themeColor="text1"/>
        </w:rPr>
        <w:t xml:space="preserve"> Additionally, the loss computation period would no longer be </w:t>
      </w:r>
      <w:r w:rsidR="007E132E">
        <w:rPr>
          <w:rFonts w:cs="Times New Roman"/>
          <w:color w:val="000000" w:themeColor="text1"/>
        </w:rPr>
        <w:t>five</w:t>
      </w:r>
      <w:r w:rsidRPr="00032367">
        <w:rPr>
          <w:rFonts w:cs="Times New Roman"/>
          <w:color w:val="000000" w:themeColor="text1"/>
        </w:rPr>
        <w:t xml:space="preserve"> years, as in Notice 2016-66, but rather the most recent </w:t>
      </w:r>
      <w:r w:rsidR="007E132E">
        <w:rPr>
          <w:rFonts w:cs="Times New Roman"/>
          <w:color w:val="000000" w:themeColor="text1"/>
        </w:rPr>
        <w:t>ten</w:t>
      </w:r>
      <w:r w:rsidRPr="00032367">
        <w:rPr>
          <w:rFonts w:cs="Times New Roman"/>
          <w:color w:val="000000" w:themeColor="text1"/>
        </w:rPr>
        <w:t xml:space="preserve"> years of the </w:t>
      </w:r>
      <w:r>
        <w:rPr>
          <w:rFonts w:cs="Times New Roman"/>
          <w:color w:val="000000" w:themeColor="text1"/>
        </w:rPr>
        <w:t>micro-</w:t>
      </w:r>
      <w:r w:rsidRPr="00032367">
        <w:rPr>
          <w:rFonts w:cs="Times New Roman"/>
          <w:color w:val="000000" w:themeColor="text1"/>
        </w:rPr>
        <w:t xml:space="preserve">captive or all of the </w:t>
      </w:r>
      <w:r>
        <w:rPr>
          <w:rFonts w:cs="Times New Roman"/>
          <w:color w:val="000000" w:themeColor="text1"/>
        </w:rPr>
        <w:t>micro-</w:t>
      </w:r>
      <w:r w:rsidRPr="00032367">
        <w:rPr>
          <w:rFonts w:cs="Times New Roman"/>
          <w:color w:val="000000" w:themeColor="text1"/>
        </w:rPr>
        <w:t xml:space="preserve">captive’s years if the </w:t>
      </w:r>
      <w:r>
        <w:rPr>
          <w:rFonts w:cs="Times New Roman"/>
          <w:color w:val="000000" w:themeColor="text1"/>
        </w:rPr>
        <w:t>micro-</w:t>
      </w:r>
      <w:r w:rsidRPr="00032367">
        <w:rPr>
          <w:rFonts w:cs="Times New Roman"/>
          <w:color w:val="000000" w:themeColor="text1"/>
        </w:rPr>
        <w:t xml:space="preserve">captive has existed for less than </w:t>
      </w:r>
      <w:r w:rsidR="007E132E">
        <w:rPr>
          <w:rFonts w:cs="Times New Roman"/>
          <w:color w:val="000000" w:themeColor="text1"/>
        </w:rPr>
        <w:t>ten</w:t>
      </w:r>
      <w:r w:rsidRPr="00032367">
        <w:rPr>
          <w:rFonts w:cs="Times New Roman"/>
          <w:color w:val="000000" w:themeColor="text1"/>
        </w:rPr>
        <w:t xml:space="preserve"> years.</w:t>
      </w:r>
      <w:r w:rsidRPr="00032367">
        <w:rPr>
          <w:rStyle w:val="FootnoteReference"/>
          <w:rFonts w:cs="Times New Roman"/>
          <w:color w:val="000000" w:themeColor="text1"/>
        </w:rPr>
        <w:footnoteReference w:id="167"/>
      </w:r>
      <w:r w:rsidRPr="00032367">
        <w:rPr>
          <w:rFonts w:cs="Times New Roman"/>
          <w:color w:val="000000" w:themeColor="text1"/>
        </w:rPr>
        <w:t xml:space="preserve"> This change allows a </w:t>
      </w:r>
      <w:r>
        <w:rPr>
          <w:rFonts w:cs="Times New Roman"/>
          <w:color w:val="000000" w:themeColor="text1"/>
        </w:rPr>
        <w:t>micro-</w:t>
      </w:r>
      <w:r w:rsidRPr="00032367">
        <w:rPr>
          <w:rFonts w:cs="Times New Roman"/>
          <w:color w:val="000000" w:themeColor="text1"/>
        </w:rPr>
        <w:t>captive to have a history to prove itself as a legitimate insurance company.</w:t>
      </w:r>
      <w:r w:rsidRPr="00032367">
        <w:rPr>
          <w:rStyle w:val="FootnoteReference"/>
          <w:rFonts w:cs="Times New Roman"/>
          <w:color w:val="000000" w:themeColor="text1"/>
        </w:rPr>
        <w:footnoteReference w:id="168"/>
      </w:r>
      <w:r w:rsidRPr="00032367">
        <w:rPr>
          <w:rFonts w:cs="Times New Roman"/>
          <w:color w:val="000000" w:themeColor="text1"/>
        </w:rPr>
        <w:t xml:space="preserve"> </w:t>
      </w:r>
    </w:p>
    <w:p w14:paraId="3D877568" w14:textId="5070B814" w:rsidR="005B517A" w:rsidRPr="00032367" w:rsidRDefault="005B517A" w:rsidP="00357836">
      <w:pPr>
        <w:rPr>
          <w:rFonts w:cs="Times New Roman"/>
          <w:color w:val="000000" w:themeColor="text1"/>
        </w:rPr>
      </w:pPr>
      <w:r w:rsidRPr="00032367">
        <w:rPr>
          <w:rFonts w:cs="Times New Roman"/>
          <w:color w:val="000000" w:themeColor="text1"/>
        </w:rPr>
        <w:lastRenderedPageBreak/>
        <w:t>The IRS has proposed this percentage change be applied to both listed transactions and transactions of interest.</w:t>
      </w:r>
      <w:r w:rsidRPr="00032367">
        <w:rPr>
          <w:rStyle w:val="FootnoteReference"/>
          <w:rFonts w:cs="Times New Roman"/>
          <w:color w:val="000000" w:themeColor="text1"/>
        </w:rPr>
        <w:footnoteReference w:id="169"/>
      </w:r>
      <w:r w:rsidRPr="00032367">
        <w:rPr>
          <w:rFonts w:cs="Times New Roman"/>
          <w:color w:val="000000" w:themeColor="text1"/>
        </w:rPr>
        <w:t xml:space="preserve"> The IRS noted that </w:t>
      </w:r>
      <w:r w:rsidR="003913E2">
        <w:rPr>
          <w:rFonts w:cs="Times New Roman"/>
          <w:color w:val="000000" w:themeColor="text1"/>
        </w:rPr>
        <w:t>it was</w:t>
      </w:r>
      <w:r w:rsidRPr="00032367">
        <w:rPr>
          <w:rFonts w:cs="Times New Roman"/>
          <w:color w:val="000000" w:themeColor="text1"/>
        </w:rPr>
        <w:t xml:space="preserve"> unaware of any non-abusive transactions that had to disclose due to the 70% rule.</w:t>
      </w:r>
      <w:r w:rsidRPr="00032367">
        <w:rPr>
          <w:rStyle w:val="FootnoteReference"/>
          <w:rFonts w:cs="Times New Roman"/>
          <w:color w:val="000000" w:themeColor="text1"/>
        </w:rPr>
        <w:footnoteReference w:id="170"/>
      </w:r>
      <w:r w:rsidRPr="00032367">
        <w:rPr>
          <w:rFonts w:cs="Times New Roman"/>
          <w:color w:val="000000" w:themeColor="text1"/>
        </w:rPr>
        <w:t xml:space="preserve"> However, the loss ratio factor aids the IRS by demonstrating tax avoidance schemes through little to no claims and excessive premium pricing.</w:t>
      </w:r>
      <w:r w:rsidRPr="00032367">
        <w:rPr>
          <w:rStyle w:val="FootnoteReference"/>
          <w:rFonts w:cs="Times New Roman"/>
          <w:color w:val="000000" w:themeColor="text1"/>
        </w:rPr>
        <w:footnoteReference w:id="171"/>
      </w:r>
      <w:r w:rsidRPr="00032367">
        <w:rPr>
          <w:rFonts w:cs="Times New Roman"/>
          <w:color w:val="000000" w:themeColor="text1"/>
        </w:rPr>
        <w:t xml:space="preserve"> Since premiums are present to cover potential loss for claims, the premiums should naturally reflect the losses.</w:t>
      </w:r>
      <w:r w:rsidRPr="00032367">
        <w:rPr>
          <w:rStyle w:val="FootnoteReference"/>
          <w:rFonts w:cs="Times New Roman"/>
          <w:color w:val="000000" w:themeColor="text1"/>
        </w:rPr>
        <w:footnoteReference w:id="172"/>
      </w:r>
      <w:r w:rsidRPr="00032367">
        <w:rPr>
          <w:rFonts w:cs="Times New Roman"/>
          <w:color w:val="000000" w:themeColor="text1"/>
        </w:rPr>
        <w:t xml:space="preserve"> Hence, according to the IRS, the loss ratio factor is an excellent tool for exposing abusive transactions.</w:t>
      </w:r>
      <w:r w:rsidRPr="00032367">
        <w:rPr>
          <w:rStyle w:val="FootnoteReference"/>
          <w:rFonts w:cs="Times New Roman"/>
          <w:color w:val="000000" w:themeColor="text1"/>
        </w:rPr>
        <w:footnoteReference w:id="173"/>
      </w:r>
      <w:r w:rsidRPr="00032367">
        <w:rPr>
          <w:rFonts w:cs="Times New Roman"/>
          <w:color w:val="000000" w:themeColor="text1"/>
        </w:rPr>
        <w:t xml:space="preserve"> However, the IRS did note that </w:t>
      </w:r>
      <w:r w:rsidR="003913E2">
        <w:rPr>
          <w:rFonts w:cs="Times New Roman"/>
          <w:color w:val="000000" w:themeColor="text1"/>
        </w:rPr>
        <w:t>it</w:t>
      </w:r>
      <w:r w:rsidRPr="00032367">
        <w:rPr>
          <w:rFonts w:cs="Times New Roman"/>
          <w:color w:val="000000" w:themeColor="text1"/>
        </w:rPr>
        <w:t xml:space="preserve"> would like to hear comments on potentially adopting a combined ratio factor instead of a loss ratio factor.</w:t>
      </w:r>
      <w:r w:rsidRPr="00032367">
        <w:rPr>
          <w:rStyle w:val="FootnoteReference"/>
          <w:rFonts w:cs="Times New Roman"/>
          <w:color w:val="000000" w:themeColor="text1"/>
        </w:rPr>
        <w:footnoteReference w:id="174"/>
      </w:r>
    </w:p>
    <w:p w14:paraId="10AFF7F7" w14:textId="1D58E2C2" w:rsidR="005B517A" w:rsidRPr="00032367" w:rsidRDefault="005B517A" w:rsidP="00357836">
      <w:pPr>
        <w:rPr>
          <w:rFonts w:cs="Times New Roman"/>
          <w:color w:val="000000" w:themeColor="text1"/>
        </w:rPr>
      </w:pPr>
      <w:r w:rsidRPr="00032367">
        <w:rPr>
          <w:rFonts w:cs="Times New Roman"/>
          <w:color w:val="000000" w:themeColor="text1"/>
        </w:rPr>
        <w:t>There are exceptions for micro-captive transactions that the IRS would not deem listed transactions.</w:t>
      </w:r>
      <w:r w:rsidRPr="00032367">
        <w:rPr>
          <w:rStyle w:val="FootnoteReference"/>
          <w:rFonts w:cs="Times New Roman"/>
          <w:color w:val="000000" w:themeColor="text1"/>
        </w:rPr>
        <w:footnoteReference w:id="175"/>
      </w:r>
      <w:r w:rsidRPr="00032367">
        <w:rPr>
          <w:rFonts w:cs="Times New Roman"/>
          <w:color w:val="000000" w:themeColor="text1"/>
        </w:rPr>
        <w:t xml:space="preserve"> The transaction must involve (1) a consumer coverage insurance contract</w:t>
      </w:r>
      <w:r w:rsidRPr="00032367">
        <w:rPr>
          <w:rStyle w:val="FootnoteReference"/>
          <w:rFonts w:cs="Times New Roman"/>
          <w:color w:val="000000" w:themeColor="text1"/>
        </w:rPr>
        <w:footnoteReference w:id="176"/>
      </w:r>
      <w:r w:rsidRPr="00032367">
        <w:rPr>
          <w:rFonts w:cs="Times New Roman"/>
          <w:color w:val="000000" w:themeColor="text1"/>
        </w:rPr>
        <w:t xml:space="preserve"> or (2) insurance for employee benefits where the Employee Benefits Security Administration of the U.S. Department of Labor has exempted these transactions.</w:t>
      </w:r>
      <w:r w:rsidRPr="00032367">
        <w:rPr>
          <w:rStyle w:val="FootnoteReference"/>
          <w:rFonts w:cs="Times New Roman"/>
          <w:color w:val="000000" w:themeColor="text1"/>
        </w:rPr>
        <w:footnoteReference w:id="177"/>
      </w:r>
      <w:r w:rsidRPr="00032367">
        <w:rPr>
          <w:rFonts w:cs="Times New Roman"/>
          <w:color w:val="000000" w:themeColor="text1"/>
        </w:rPr>
        <w:t xml:space="preserve"> These exceptions apply to micro-captive transactions of interest.</w:t>
      </w:r>
      <w:r w:rsidRPr="00032367">
        <w:rPr>
          <w:rStyle w:val="FootnoteReference"/>
          <w:rFonts w:cs="Times New Roman"/>
          <w:color w:val="000000" w:themeColor="text1"/>
        </w:rPr>
        <w:footnoteReference w:id="178"/>
      </w:r>
    </w:p>
    <w:p w14:paraId="49C888C2" w14:textId="77777777" w:rsidR="005B517A" w:rsidRPr="0088046E" w:rsidRDefault="005B517A" w:rsidP="00CC2D68">
      <w:pPr>
        <w:pStyle w:val="Heading2"/>
      </w:pPr>
      <w:bookmarkStart w:id="27" w:name="_Toc158623011"/>
      <w:r w:rsidRPr="0088046E">
        <w:t>Micro-Captive Transactions as Transactions of Interest</w:t>
      </w:r>
      <w:bookmarkEnd w:id="27"/>
    </w:p>
    <w:p w14:paraId="2D336600" w14:textId="68A11CFE" w:rsidR="005B517A" w:rsidRPr="00032367" w:rsidRDefault="005B517A" w:rsidP="00F575C3">
      <w:pPr>
        <w:rPr>
          <w:rFonts w:cs="Times New Roman"/>
          <w:color w:val="000000" w:themeColor="text1"/>
        </w:rPr>
      </w:pPr>
      <w:r w:rsidRPr="00032367">
        <w:rPr>
          <w:rFonts w:cs="Times New Roman"/>
          <w:color w:val="000000" w:themeColor="text1"/>
        </w:rPr>
        <w:t>The IRS will continue to find certain micro-captive transactions as transactions of interest.</w:t>
      </w:r>
      <w:r w:rsidRPr="00032367">
        <w:rPr>
          <w:rStyle w:val="FootnoteReference"/>
          <w:rFonts w:cs="Times New Roman"/>
          <w:color w:val="000000" w:themeColor="text1"/>
        </w:rPr>
        <w:footnoteReference w:id="179"/>
      </w:r>
      <w:r w:rsidRPr="00032367">
        <w:rPr>
          <w:rFonts w:cs="Times New Roman"/>
          <w:color w:val="000000" w:themeColor="text1"/>
        </w:rPr>
        <w:t xml:space="preserve"> Specifically, </w:t>
      </w:r>
      <w:r w:rsidR="00750FAE">
        <w:rPr>
          <w:rFonts w:cs="Times New Roman"/>
          <w:color w:val="000000" w:themeColor="text1"/>
        </w:rPr>
        <w:t xml:space="preserve">these include </w:t>
      </w:r>
      <w:r w:rsidRPr="00032367">
        <w:rPr>
          <w:rFonts w:cs="Times New Roman"/>
          <w:color w:val="000000" w:themeColor="text1"/>
        </w:rPr>
        <w:t xml:space="preserve">transactions that are the same or substantially similar to a transaction involving a </w:t>
      </w:r>
      <w:r>
        <w:rPr>
          <w:rFonts w:cs="Times New Roman"/>
          <w:color w:val="000000" w:themeColor="text1"/>
        </w:rPr>
        <w:t>micro-</w:t>
      </w:r>
      <w:r w:rsidRPr="00032367">
        <w:rPr>
          <w:rFonts w:cs="Times New Roman"/>
          <w:color w:val="000000" w:themeColor="text1"/>
        </w:rPr>
        <w:t xml:space="preserve">captive with a contract and where the insured losses and claim administration expenses are less than 65% of the premiums earned minus the policyholder dividends paid by the </w:t>
      </w:r>
      <w:r>
        <w:rPr>
          <w:rFonts w:cs="Times New Roman"/>
          <w:color w:val="000000" w:themeColor="text1"/>
        </w:rPr>
        <w:t>micro-</w:t>
      </w:r>
      <w:r w:rsidRPr="00032367">
        <w:rPr>
          <w:rFonts w:cs="Times New Roman"/>
          <w:color w:val="000000" w:themeColor="text1"/>
        </w:rPr>
        <w:t>captive during the transactions of interest computation period.</w:t>
      </w:r>
      <w:r w:rsidRPr="00032367">
        <w:rPr>
          <w:rStyle w:val="FootnoteReference"/>
          <w:rFonts w:cs="Times New Roman"/>
          <w:color w:val="000000" w:themeColor="text1"/>
        </w:rPr>
        <w:footnoteReference w:id="180"/>
      </w:r>
      <w:r w:rsidRPr="00032367">
        <w:rPr>
          <w:rFonts w:cs="Times New Roman"/>
          <w:color w:val="000000" w:themeColor="text1"/>
        </w:rPr>
        <w:t xml:space="preserve"> The transactions of interest computation period </w:t>
      </w:r>
      <w:r>
        <w:rPr>
          <w:rFonts w:cs="Times New Roman"/>
          <w:color w:val="000000" w:themeColor="text1"/>
        </w:rPr>
        <w:t>is</w:t>
      </w:r>
      <w:r w:rsidRPr="00032367">
        <w:rPr>
          <w:rFonts w:cs="Times New Roman"/>
          <w:color w:val="000000" w:themeColor="text1"/>
        </w:rPr>
        <w:t xml:space="preserve"> the most recent </w:t>
      </w:r>
      <w:r w:rsidR="003913E2">
        <w:rPr>
          <w:rFonts w:cs="Times New Roman"/>
          <w:color w:val="000000" w:themeColor="text1"/>
        </w:rPr>
        <w:t>nine</w:t>
      </w:r>
      <w:r w:rsidRPr="00032367">
        <w:rPr>
          <w:rFonts w:cs="Times New Roman"/>
          <w:color w:val="000000" w:themeColor="text1"/>
        </w:rPr>
        <w:t xml:space="preserve"> taxable years of the </w:t>
      </w:r>
      <w:r>
        <w:rPr>
          <w:rFonts w:cs="Times New Roman"/>
          <w:color w:val="000000" w:themeColor="text1"/>
        </w:rPr>
        <w:t>micro-</w:t>
      </w:r>
      <w:r w:rsidRPr="00032367">
        <w:rPr>
          <w:rFonts w:cs="Times New Roman"/>
          <w:color w:val="000000" w:themeColor="text1"/>
        </w:rPr>
        <w:t xml:space="preserve">captive or all of the years if the </w:t>
      </w:r>
      <w:r>
        <w:rPr>
          <w:rFonts w:cs="Times New Roman"/>
          <w:color w:val="000000" w:themeColor="text1"/>
        </w:rPr>
        <w:t>micro-</w:t>
      </w:r>
      <w:r w:rsidRPr="00032367">
        <w:rPr>
          <w:rFonts w:cs="Times New Roman"/>
          <w:color w:val="000000" w:themeColor="text1"/>
        </w:rPr>
        <w:t xml:space="preserve">captive’s existence is less than </w:t>
      </w:r>
      <w:r w:rsidR="003913E2">
        <w:rPr>
          <w:rFonts w:cs="Times New Roman"/>
          <w:color w:val="000000" w:themeColor="text1"/>
        </w:rPr>
        <w:t>nine</w:t>
      </w:r>
      <w:r w:rsidRPr="00032367">
        <w:rPr>
          <w:rFonts w:cs="Times New Roman"/>
          <w:color w:val="000000" w:themeColor="text1"/>
        </w:rPr>
        <w:t xml:space="preserve"> years.</w:t>
      </w:r>
      <w:r w:rsidRPr="00032367">
        <w:rPr>
          <w:rStyle w:val="FootnoteReference"/>
          <w:rFonts w:cs="Times New Roman"/>
          <w:color w:val="000000" w:themeColor="text1"/>
        </w:rPr>
        <w:footnoteReference w:id="181"/>
      </w:r>
      <w:r w:rsidRPr="00032367">
        <w:rPr>
          <w:rFonts w:cs="Times New Roman"/>
          <w:color w:val="000000" w:themeColor="text1"/>
        </w:rPr>
        <w:t xml:space="preserve"> According to the IRS, this allows them to seek more </w:t>
      </w:r>
      <w:r w:rsidRPr="00032367">
        <w:rPr>
          <w:rFonts w:cs="Times New Roman"/>
          <w:color w:val="000000" w:themeColor="text1"/>
        </w:rPr>
        <w:lastRenderedPageBreak/>
        <w:t>information on any potential transactions used for tax abuse schemes.</w:t>
      </w:r>
      <w:r w:rsidRPr="00032367">
        <w:rPr>
          <w:rStyle w:val="FootnoteReference"/>
          <w:rFonts w:cs="Times New Roman"/>
          <w:color w:val="000000" w:themeColor="text1"/>
        </w:rPr>
        <w:footnoteReference w:id="182"/>
      </w:r>
      <w:r w:rsidRPr="00032367">
        <w:rPr>
          <w:rFonts w:cs="Times New Roman"/>
          <w:color w:val="000000" w:themeColor="text1"/>
        </w:rPr>
        <w:t xml:space="preserve"> The two exceptions described above for listed transactions also apply to transactions of interest.</w:t>
      </w:r>
      <w:r w:rsidRPr="00032367">
        <w:rPr>
          <w:rStyle w:val="FootnoteReference"/>
          <w:rFonts w:cs="Times New Roman"/>
          <w:color w:val="000000" w:themeColor="text1"/>
        </w:rPr>
        <w:footnoteReference w:id="183"/>
      </w:r>
      <w:r w:rsidRPr="00032367">
        <w:rPr>
          <w:rFonts w:cs="Times New Roman"/>
          <w:color w:val="000000" w:themeColor="text1"/>
        </w:rPr>
        <w:t xml:space="preserve"> The IRS also made it clear that once any particular transaction becomes listed, it need not additionally disclose as a transaction of interest.</w:t>
      </w:r>
      <w:r w:rsidRPr="00032367">
        <w:rPr>
          <w:rStyle w:val="FootnoteReference"/>
          <w:rFonts w:cs="Times New Roman"/>
          <w:color w:val="000000" w:themeColor="text1"/>
        </w:rPr>
        <w:footnoteReference w:id="184"/>
      </w:r>
      <w:r w:rsidRPr="00032367">
        <w:rPr>
          <w:rFonts w:cs="Times New Roman"/>
          <w:color w:val="000000" w:themeColor="text1"/>
        </w:rPr>
        <w:t xml:space="preserve"> According to the IRS, material advisors who are unsure how to categorize the transaction should still disclose the transaction as a listed transaction.</w:t>
      </w:r>
      <w:r w:rsidRPr="00032367">
        <w:rPr>
          <w:rStyle w:val="FootnoteReference"/>
          <w:rFonts w:cs="Times New Roman"/>
          <w:color w:val="000000" w:themeColor="text1"/>
        </w:rPr>
        <w:footnoteReference w:id="185"/>
      </w:r>
      <w:r w:rsidRPr="00032367">
        <w:rPr>
          <w:rFonts w:cs="Times New Roman"/>
          <w:color w:val="000000" w:themeColor="text1"/>
        </w:rPr>
        <w:t xml:space="preserve"> </w:t>
      </w:r>
    </w:p>
    <w:p w14:paraId="27DCDA94" w14:textId="77777777" w:rsidR="005B517A" w:rsidRPr="00BA307F" w:rsidRDefault="005B517A" w:rsidP="00CC2D68">
      <w:pPr>
        <w:pStyle w:val="Heading2"/>
      </w:pPr>
      <w:bookmarkStart w:id="28" w:name="_Toc158623012"/>
      <w:r w:rsidRPr="00CC2D68">
        <w:t>Disclosure</w:t>
      </w:r>
      <w:r w:rsidRPr="00BA307F">
        <w:t xml:space="preserve"> Requirements</w:t>
      </w:r>
      <w:bookmarkEnd w:id="28"/>
    </w:p>
    <w:p w14:paraId="5EBA2BAB" w14:textId="72ECBA3A" w:rsidR="005B517A" w:rsidRPr="00032367" w:rsidRDefault="005B517A" w:rsidP="00F575C3">
      <w:pPr>
        <w:rPr>
          <w:rFonts w:cs="Times New Roman"/>
          <w:color w:val="000000" w:themeColor="text1"/>
        </w:rPr>
      </w:pPr>
      <w:r w:rsidRPr="00032367">
        <w:rPr>
          <w:rFonts w:cs="Times New Roman"/>
          <w:color w:val="000000" w:themeColor="text1"/>
        </w:rPr>
        <w:t>The IRS’</w:t>
      </w:r>
      <w:r w:rsidR="00375E05">
        <w:rPr>
          <w:rFonts w:cs="Times New Roman"/>
          <w:color w:val="000000" w:themeColor="text1"/>
        </w:rPr>
        <w:t>s</w:t>
      </w:r>
      <w:r w:rsidRPr="00032367">
        <w:rPr>
          <w:rFonts w:cs="Times New Roman"/>
          <w:color w:val="000000" w:themeColor="text1"/>
        </w:rPr>
        <w:t xml:space="preserve"> proposed regulations require disclosure statements under Form 8886 for both listed transactions and transactions of interest.</w:t>
      </w:r>
      <w:r w:rsidRPr="00032367">
        <w:rPr>
          <w:rStyle w:val="FootnoteReference"/>
          <w:rFonts w:cs="Times New Roman"/>
          <w:color w:val="000000" w:themeColor="text1"/>
        </w:rPr>
        <w:footnoteReference w:id="186"/>
      </w:r>
      <w:r w:rsidRPr="00032367">
        <w:rPr>
          <w:rFonts w:cs="Times New Roman"/>
          <w:color w:val="000000" w:themeColor="text1"/>
        </w:rPr>
        <w:t xml:space="preserve"> However, the IRS has reduced the information required in this form compared to the information needed in Notice 2016-66.</w:t>
      </w:r>
      <w:r w:rsidRPr="00032367">
        <w:rPr>
          <w:rStyle w:val="FootnoteReference"/>
          <w:rFonts w:cs="Times New Roman"/>
          <w:color w:val="000000" w:themeColor="text1"/>
        </w:rPr>
        <w:footnoteReference w:id="187"/>
      </w:r>
      <w:r w:rsidRPr="00032367">
        <w:rPr>
          <w:rFonts w:cs="Times New Roman"/>
          <w:color w:val="000000" w:themeColor="text1"/>
        </w:rPr>
        <w:t xml:space="preserve"> The IRS noted that certain information is no longer required to be disclosed. In particular, information such as “identify[ing] which factors of the proposed regulations apply, stat[ing] under what authority Captive is chartered, </w:t>
      </w:r>
      <w:proofErr w:type="spellStart"/>
      <w:r w:rsidRPr="00032367">
        <w:rPr>
          <w:rFonts w:cs="Times New Roman"/>
          <w:color w:val="000000" w:themeColor="text1"/>
        </w:rPr>
        <w:t>describ</w:t>
      </w:r>
      <w:proofErr w:type="spellEnd"/>
      <w:r w:rsidRPr="00032367">
        <w:rPr>
          <w:rFonts w:cs="Times New Roman"/>
          <w:color w:val="000000" w:themeColor="text1"/>
        </w:rPr>
        <w:t>[</w:t>
      </w:r>
      <w:proofErr w:type="spellStart"/>
      <w:r w:rsidRPr="00032367">
        <w:rPr>
          <w:rFonts w:cs="Times New Roman"/>
          <w:color w:val="000000" w:themeColor="text1"/>
        </w:rPr>
        <w:t>ing</w:t>
      </w:r>
      <w:proofErr w:type="spellEnd"/>
      <w:r w:rsidRPr="00032367">
        <w:rPr>
          <w:rFonts w:cs="Times New Roman"/>
          <w:color w:val="000000" w:themeColor="text1"/>
        </w:rPr>
        <w:t xml:space="preserve">] how amounts treated as premiums for coverage provided by Captive were determined, </w:t>
      </w:r>
      <w:proofErr w:type="spellStart"/>
      <w:r w:rsidRPr="00032367">
        <w:rPr>
          <w:rFonts w:cs="Times New Roman"/>
          <w:color w:val="000000" w:themeColor="text1"/>
        </w:rPr>
        <w:t>provid</w:t>
      </w:r>
      <w:proofErr w:type="spellEnd"/>
      <w:r w:rsidRPr="00032367">
        <w:rPr>
          <w:rFonts w:cs="Times New Roman"/>
          <w:color w:val="000000" w:themeColor="text1"/>
        </w:rPr>
        <w:t>[</w:t>
      </w:r>
      <w:proofErr w:type="spellStart"/>
      <w:r w:rsidRPr="00032367">
        <w:rPr>
          <w:rFonts w:cs="Times New Roman"/>
          <w:color w:val="000000" w:themeColor="text1"/>
        </w:rPr>
        <w:t>ing</w:t>
      </w:r>
      <w:proofErr w:type="spellEnd"/>
      <w:r w:rsidRPr="00032367">
        <w:rPr>
          <w:rFonts w:cs="Times New Roman"/>
          <w:color w:val="000000" w:themeColor="text1"/>
        </w:rPr>
        <w:t xml:space="preserve">] the amounts of reserves reported by Captive on its annual statement, or </w:t>
      </w:r>
      <w:proofErr w:type="spellStart"/>
      <w:r w:rsidRPr="00032367">
        <w:rPr>
          <w:rFonts w:cs="Times New Roman"/>
          <w:color w:val="000000" w:themeColor="text1"/>
        </w:rPr>
        <w:t>describ</w:t>
      </w:r>
      <w:proofErr w:type="spellEnd"/>
      <w:r w:rsidRPr="00032367">
        <w:rPr>
          <w:rFonts w:cs="Times New Roman"/>
          <w:color w:val="000000" w:themeColor="text1"/>
        </w:rPr>
        <w:t>[</w:t>
      </w:r>
      <w:proofErr w:type="spellStart"/>
      <w:r w:rsidRPr="00032367">
        <w:rPr>
          <w:rFonts w:cs="Times New Roman"/>
          <w:color w:val="000000" w:themeColor="text1"/>
        </w:rPr>
        <w:t>ing</w:t>
      </w:r>
      <w:proofErr w:type="spellEnd"/>
      <w:r w:rsidRPr="00032367">
        <w:rPr>
          <w:rFonts w:cs="Times New Roman"/>
          <w:color w:val="000000" w:themeColor="text1"/>
        </w:rPr>
        <w:t>] the assets held by Captive” is no longer required.</w:t>
      </w:r>
      <w:r w:rsidRPr="00032367">
        <w:rPr>
          <w:rStyle w:val="FootnoteReference"/>
          <w:rFonts w:cs="Times New Roman"/>
          <w:color w:val="000000" w:themeColor="text1"/>
        </w:rPr>
        <w:footnoteReference w:id="188"/>
      </w:r>
      <w:r w:rsidRPr="00032367">
        <w:rPr>
          <w:rFonts w:cs="Times New Roman"/>
          <w:color w:val="000000" w:themeColor="text1"/>
        </w:rPr>
        <w:t xml:space="preserve"> However, the proposed regulations do require disclosure requirements about the insurance policies the micro-captive uses, the amount from claims, and the amount for premiums.</w:t>
      </w:r>
      <w:r w:rsidRPr="00032367">
        <w:rPr>
          <w:rStyle w:val="FootnoteReference"/>
          <w:rFonts w:cs="Times New Roman"/>
          <w:color w:val="000000" w:themeColor="text1"/>
        </w:rPr>
        <w:footnoteReference w:id="189"/>
      </w:r>
    </w:p>
    <w:p w14:paraId="272A1909" w14:textId="382957BF" w:rsidR="005B517A" w:rsidRPr="00032367" w:rsidRDefault="005B517A" w:rsidP="00F575C3">
      <w:pPr>
        <w:rPr>
          <w:rFonts w:cs="Times New Roman"/>
          <w:color w:val="000000" w:themeColor="text1"/>
        </w:rPr>
      </w:pPr>
      <w:r w:rsidRPr="00032367">
        <w:rPr>
          <w:rFonts w:cs="Times New Roman"/>
          <w:color w:val="000000" w:themeColor="text1"/>
        </w:rPr>
        <w:t>The Proposed Regulation</w:t>
      </w:r>
      <w:r w:rsidR="00750FAE">
        <w:rPr>
          <w:rFonts w:cs="Times New Roman"/>
          <w:color w:val="000000" w:themeColor="text1"/>
        </w:rPr>
        <w:t>s</w:t>
      </w:r>
      <w:r w:rsidRPr="00032367">
        <w:rPr>
          <w:rFonts w:cs="Times New Roman"/>
          <w:color w:val="000000" w:themeColor="text1"/>
        </w:rPr>
        <w:t xml:space="preserve"> set forth a disclosure safe harbor for owners of an insured company in </w:t>
      </w:r>
      <w:r>
        <w:rPr>
          <w:rFonts w:cs="Times New Roman"/>
          <w:color w:val="000000" w:themeColor="text1"/>
        </w:rPr>
        <w:t xml:space="preserve">a </w:t>
      </w:r>
      <w:r w:rsidRPr="00032367">
        <w:rPr>
          <w:rFonts w:cs="Times New Roman"/>
          <w:color w:val="000000" w:themeColor="text1"/>
        </w:rPr>
        <w:t>contract with a micro-captive.</w:t>
      </w:r>
      <w:r w:rsidRPr="00032367">
        <w:rPr>
          <w:rStyle w:val="FootnoteReference"/>
          <w:rFonts w:cs="Times New Roman"/>
          <w:color w:val="000000" w:themeColor="text1"/>
        </w:rPr>
        <w:footnoteReference w:id="190"/>
      </w:r>
      <w:r w:rsidRPr="00032367">
        <w:rPr>
          <w:rFonts w:cs="Times New Roman"/>
          <w:color w:val="000000" w:themeColor="text1"/>
        </w:rPr>
        <w:t xml:space="preserve"> If an individual has direct or indirect ownership over the insured company, the individual may not need to disclose.</w:t>
      </w:r>
      <w:r w:rsidRPr="00032367">
        <w:rPr>
          <w:rStyle w:val="FootnoteReference"/>
          <w:rFonts w:cs="Times New Roman"/>
          <w:color w:val="000000" w:themeColor="text1"/>
        </w:rPr>
        <w:footnoteReference w:id="191"/>
      </w:r>
      <w:r w:rsidRPr="00032367">
        <w:rPr>
          <w:rFonts w:cs="Times New Roman"/>
          <w:color w:val="000000" w:themeColor="text1"/>
        </w:rPr>
        <w:t xml:space="preserve"> The individual would need written or electronic proof that </w:t>
      </w:r>
      <w:r w:rsidRPr="00032367">
        <w:rPr>
          <w:rFonts w:cs="Times New Roman"/>
          <w:color w:val="000000" w:themeColor="text1"/>
        </w:rPr>
        <w:lastRenderedPageBreak/>
        <w:t>the insured company will adhere to or already has adhered to the disclosure requirements under the Proposed Regulations.</w:t>
      </w:r>
      <w:r w:rsidRPr="00032367">
        <w:rPr>
          <w:rStyle w:val="FootnoteReference"/>
          <w:rFonts w:cs="Times New Roman"/>
          <w:color w:val="000000" w:themeColor="text1"/>
        </w:rPr>
        <w:footnoteReference w:id="192"/>
      </w:r>
      <w:r w:rsidRPr="00032367">
        <w:rPr>
          <w:rFonts w:cs="Times New Roman"/>
          <w:color w:val="000000" w:themeColor="text1"/>
        </w:rPr>
        <w:t xml:space="preserve"> Owners may use Form 8886 as acknowledgment.</w:t>
      </w:r>
      <w:r w:rsidRPr="00032367">
        <w:rPr>
          <w:rStyle w:val="FootnoteReference"/>
          <w:rFonts w:cs="Times New Roman"/>
          <w:color w:val="000000" w:themeColor="text1"/>
        </w:rPr>
        <w:footnoteReference w:id="193"/>
      </w:r>
      <w:r w:rsidRPr="00032367">
        <w:rPr>
          <w:rFonts w:cs="Times New Roman"/>
          <w:color w:val="000000" w:themeColor="text1"/>
        </w:rPr>
        <w:t xml:space="preserve"> However, an owner would be required to timely file disclosures if the insured company failed to do so.</w:t>
      </w:r>
      <w:r w:rsidRPr="00032367">
        <w:rPr>
          <w:rStyle w:val="FootnoteReference"/>
          <w:rFonts w:cs="Times New Roman"/>
          <w:color w:val="000000" w:themeColor="text1"/>
        </w:rPr>
        <w:footnoteReference w:id="194"/>
      </w:r>
    </w:p>
    <w:p w14:paraId="150F46EA" w14:textId="77777777" w:rsidR="005B517A" w:rsidRPr="009A1093" w:rsidRDefault="005B517A" w:rsidP="00CC2D68">
      <w:pPr>
        <w:pStyle w:val="Heading2"/>
      </w:pPr>
      <w:bookmarkStart w:id="29" w:name="_Toc158623013"/>
      <w:r w:rsidRPr="00CC2D68">
        <w:t>Penalties</w:t>
      </w:r>
      <w:r w:rsidRPr="009A1093">
        <w:t xml:space="preserve"> for Non-Compliance</w:t>
      </w:r>
      <w:bookmarkEnd w:id="29"/>
    </w:p>
    <w:p w14:paraId="06202DEB" w14:textId="6D8C12EC" w:rsidR="005B517A" w:rsidRPr="00032367" w:rsidRDefault="005B517A" w:rsidP="00357836">
      <w:pPr>
        <w:rPr>
          <w:rFonts w:cs="Times New Roman"/>
          <w:color w:val="000000" w:themeColor="text1"/>
        </w:rPr>
      </w:pPr>
      <w:r w:rsidRPr="00032367">
        <w:rPr>
          <w:rFonts w:cs="Times New Roman"/>
          <w:color w:val="000000" w:themeColor="text1"/>
        </w:rPr>
        <w:t xml:space="preserve">Taxpayers, material advisors, and other participants in micro-captive transactions </w:t>
      </w:r>
      <w:r>
        <w:rPr>
          <w:rFonts w:cs="Times New Roman"/>
          <w:color w:val="000000" w:themeColor="text1"/>
        </w:rPr>
        <w:t>may</w:t>
      </w:r>
      <w:r w:rsidRPr="00032367">
        <w:rPr>
          <w:rFonts w:cs="Times New Roman"/>
          <w:color w:val="000000" w:themeColor="text1"/>
        </w:rPr>
        <w:t xml:space="preserve"> face higher penalties now that </w:t>
      </w:r>
      <w:r>
        <w:rPr>
          <w:rFonts w:cs="Times New Roman"/>
          <w:color w:val="000000" w:themeColor="text1"/>
        </w:rPr>
        <w:t xml:space="preserve">certain </w:t>
      </w:r>
      <w:r w:rsidRPr="00032367">
        <w:rPr>
          <w:rFonts w:cs="Times New Roman"/>
          <w:color w:val="000000" w:themeColor="text1"/>
        </w:rPr>
        <w:t>micro-captive transactions are listed transactions instead of solely transactions of interest.</w:t>
      </w:r>
      <w:r w:rsidRPr="00032367">
        <w:rPr>
          <w:rStyle w:val="FootnoteReference"/>
          <w:rFonts w:cs="Times New Roman"/>
          <w:color w:val="000000" w:themeColor="text1"/>
        </w:rPr>
        <w:footnoteReference w:id="195"/>
      </w:r>
      <w:r w:rsidRPr="00032367">
        <w:rPr>
          <w:rFonts w:cs="Times New Roman"/>
          <w:color w:val="000000" w:themeColor="text1"/>
        </w:rPr>
        <w:t xml:space="preserve"> This new designation will create a much larger penalty scheme for taxpayers and materials advisors while echoing some penalties discussed in Notice 2016-66. Additionally, the Proposed Regulations emphasized several other penalties</w:t>
      </w:r>
      <w:r>
        <w:rPr>
          <w:rFonts w:cs="Times New Roman"/>
          <w:color w:val="000000" w:themeColor="text1"/>
        </w:rPr>
        <w:t xml:space="preserve"> (not discussed in </w:t>
      </w:r>
      <w:r w:rsidRPr="00032367">
        <w:rPr>
          <w:rFonts w:cs="Times New Roman"/>
          <w:color w:val="000000" w:themeColor="text1"/>
        </w:rPr>
        <w:t>Notice 2016-66</w:t>
      </w:r>
      <w:r>
        <w:rPr>
          <w:rFonts w:cs="Times New Roman"/>
          <w:color w:val="000000" w:themeColor="text1"/>
        </w:rPr>
        <w:t>)</w:t>
      </w:r>
      <w:r w:rsidRPr="00032367">
        <w:rPr>
          <w:rFonts w:cs="Times New Roman"/>
          <w:color w:val="000000" w:themeColor="text1"/>
        </w:rPr>
        <w:t xml:space="preserve"> that can affect all participants in the micro-captive transactions.</w:t>
      </w:r>
      <w:r w:rsidRPr="00032367">
        <w:rPr>
          <w:rStyle w:val="FootnoteReference"/>
          <w:rFonts w:cs="Times New Roman"/>
          <w:color w:val="000000" w:themeColor="text1"/>
        </w:rPr>
        <w:footnoteReference w:id="196"/>
      </w:r>
      <w:r w:rsidRPr="00032367">
        <w:rPr>
          <w:rFonts w:cs="Times New Roman"/>
          <w:color w:val="000000" w:themeColor="text1"/>
        </w:rPr>
        <w:t xml:space="preserve"> The Secretary may also use an extra year of tax assessment for those who fail to include information about a micro-captive.</w:t>
      </w:r>
      <w:r w:rsidRPr="00032367">
        <w:rPr>
          <w:rStyle w:val="FootnoteReference"/>
          <w:rFonts w:cs="Times New Roman"/>
          <w:color w:val="000000" w:themeColor="text1"/>
        </w:rPr>
        <w:footnoteReference w:id="197"/>
      </w:r>
    </w:p>
    <w:p w14:paraId="1B8E389C" w14:textId="267D7BD9" w:rsidR="005B517A" w:rsidRPr="00032367" w:rsidRDefault="005B517A" w:rsidP="00357836">
      <w:pPr>
        <w:rPr>
          <w:rFonts w:cs="Times New Roman"/>
          <w:color w:val="000000" w:themeColor="text1"/>
        </w:rPr>
      </w:pPr>
      <w:r>
        <w:rPr>
          <w:rFonts w:cs="Times New Roman"/>
          <w:color w:val="000000" w:themeColor="text1"/>
        </w:rPr>
        <w:t xml:space="preserve">In addition to the potential for “listed transaction” penalties, </w:t>
      </w:r>
      <w:r w:rsidRPr="00032367">
        <w:rPr>
          <w:rFonts w:cs="Times New Roman"/>
          <w:color w:val="000000" w:themeColor="text1"/>
        </w:rPr>
        <w:t xml:space="preserve">taxpayers </w:t>
      </w:r>
      <w:r>
        <w:rPr>
          <w:rFonts w:cs="Times New Roman"/>
          <w:color w:val="000000" w:themeColor="text1"/>
        </w:rPr>
        <w:t>may</w:t>
      </w:r>
      <w:r w:rsidRPr="00032367">
        <w:rPr>
          <w:rFonts w:cs="Times New Roman"/>
          <w:color w:val="000000" w:themeColor="text1"/>
        </w:rPr>
        <w:t xml:space="preserve"> </w:t>
      </w:r>
      <w:r>
        <w:rPr>
          <w:rFonts w:cs="Times New Roman"/>
          <w:color w:val="000000" w:themeColor="text1"/>
        </w:rPr>
        <w:t xml:space="preserve">also be subject to the 20% </w:t>
      </w:r>
      <w:r w:rsidRPr="00032367">
        <w:rPr>
          <w:rFonts w:cs="Times New Roman"/>
          <w:color w:val="000000" w:themeColor="text1"/>
        </w:rPr>
        <w:t>accuracy-related penalty described in Notice 2016-66.</w:t>
      </w:r>
      <w:r w:rsidRPr="00032367">
        <w:rPr>
          <w:rStyle w:val="FootnoteReference"/>
          <w:rFonts w:cs="Times New Roman"/>
          <w:color w:val="000000" w:themeColor="text1"/>
        </w:rPr>
        <w:footnoteReference w:id="198"/>
      </w:r>
      <w:r w:rsidRPr="00032367">
        <w:rPr>
          <w:rFonts w:cs="Times New Roman"/>
          <w:color w:val="000000" w:themeColor="text1"/>
        </w:rPr>
        <w:t xml:space="preserve"> Taxpayers who fail to file or file false or incomplete information on a tax return regarding a micro-captive listed transaction may face an initial maximum penalty of $200,000 as a corporate taxpayer or $100,000 as an individual taxpayer.</w:t>
      </w:r>
      <w:r w:rsidRPr="00032367">
        <w:rPr>
          <w:rStyle w:val="FootnoteReference"/>
          <w:rFonts w:cs="Times New Roman"/>
          <w:color w:val="000000" w:themeColor="text1"/>
        </w:rPr>
        <w:footnoteReference w:id="199"/>
      </w:r>
      <w:r w:rsidRPr="00032367">
        <w:rPr>
          <w:rFonts w:cs="Times New Roman"/>
          <w:color w:val="000000" w:themeColor="text1"/>
        </w:rPr>
        <w:t xml:space="preserve"> Additionally, the IRS may impose a 20% penalty on any taxpayer who received a deduction by filing inaccurate information on a tax return about the transaction.</w:t>
      </w:r>
      <w:r w:rsidRPr="00032367">
        <w:rPr>
          <w:rStyle w:val="FootnoteReference"/>
          <w:rFonts w:cs="Times New Roman"/>
          <w:color w:val="000000" w:themeColor="text1"/>
        </w:rPr>
        <w:footnoteReference w:id="200"/>
      </w:r>
      <w:r w:rsidRPr="00032367">
        <w:rPr>
          <w:rFonts w:cs="Times New Roman"/>
          <w:color w:val="000000" w:themeColor="text1"/>
        </w:rPr>
        <w:t xml:space="preserve"> For example, a taxpayer may have filed a tax form for $20,000 gained from a micro-captive but was supposed to file for $200,000. The IRS’</w:t>
      </w:r>
      <w:r w:rsidR="00375E05">
        <w:rPr>
          <w:rFonts w:cs="Times New Roman"/>
          <w:color w:val="000000" w:themeColor="text1"/>
        </w:rPr>
        <w:t>s</w:t>
      </w:r>
      <w:r w:rsidRPr="00032367">
        <w:rPr>
          <w:rFonts w:cs="Times New Roman"/>
          <w:color w:val="000000" w:themeColor="text1"/>
        </w:rPr>
        <w:t xml:space="preserve"> accuracy penalty would charge 20% from the understatement, which would be the $180,000 difference.</w:t>
      </w:r>
      <w:r w:rsidRPr="00032367">
        <w:rPr>
          <w:rStyle w:val="FootnoteReference"/>
          <w:rFonts w:cs="Times New Roman"/>
          <w:color w:val="000000" w:themeColor="text1"/>
        </w:rPr>
        <w:footnoteReference w:id="201"/>
      </w:r>
      <w:r w:rsidRPr="00032367">
        <w:rPr>
          <w:rFonts w:cs="Times New Roman"/>
          <w:color w:val="000000" w:themeColor="text1"/>
        </w:rPr>
        <w:t xml:space="preserve"> Therefore, the </w:t>
      </w:r>
      <w:r w:rsidRPr="00032367">
        <w:rPr>
          <w:rFonts w:cs="Times New Roman"/>
          <w:color w:val="000000" w:themeColor="text1"/>
        </w:rPr>
        <w:lastRenderedPageBreak/>
        <w:t>taxpayer would need to pay an additional $36,000 as this is 20% of the understatement, which would get added to a potential maximum penalty of $200,000 or $100,000.</w:t>
      </w:r>
    </w:p>
    <w:p w14:paraId="3A1E80E7" w14:textId="0FC30AD5" w:rsidR="005B517A" w:rsidRPr="00032367" w:rsidRDefault="005B517A" w:rsidP="00357836">
      <w:pPr>
        <w:rPr>
          <w:rFonts w:cs="Times New Roman"/>
          <w:color w:val="000000" w:themeColor="text1"/>
        </w:rPr>
      </w:pPr>
      <w:r w:rsidRPr="00032367">
        <w:rPr>
          <w:rFonts w:cs="Times New Roman"/>
          <w:color w:val="000000" w:themeColor="text1"/>
        </w:rPr>
        <w:t xml:space="preserve">Second, material advisors will face higher penalties </w:t>
      </w:r>
      <w:r>
        <w:rPr>
          <w:rFonts w:cs="Times New Roman"/>
          <w:color w:val="000000" w:themeColor="text1"/>
        </w:rPr>
        <w:t xml:space="preserve">if they are involved with </w:t>
      </w:r>
      <w:r w:rsidRPr="00032367">
        <w:rPr>
          <w:rFonts w:cs="Times New Roman"/>
          <w:color w:val="000000" w:themeColor="text1"/>
        </w:rPr>
        <w:t xml:space="preserve">listed transaction </w:t>
      </w:r>
      <w:r>
        <w:rPr>
          <w:rFonts w:cs="Times New Roman"/>
          <w:color w:val="000000" w:themeColor="text1"/>
        </w:rPr>
        <w:t xml:space="preserve">micro-captives, in addition to </w:t>
      </w:r>
      <w:r w:rsidRPr="00032367">
        <w:rPr>
          <w:rFonts w:cs="Times New Roman"/>
          <w:color w:val="000000" w:themeColor="text1"/>
        </w:rPr>
        <w:t>the same penalties noted in Notice 2016-66 for failure to disclose an advisee list requested by the Secretary.</w:t>
      </w:r>
      <w:r w:rsidRPr="00032367">
        <w:rPr>
          <w:rStyle w:val="FootnoteReference"/>
          <w:rFonts w:cs="Times New Roman"/>
          <w:color w:val="000000" w:themeColor="text1"/>
        </w:rPr>
        <w:footnoteReference w:id="202"/>
      </w:r>
      <w:r w:rsidRPr="00032367">
        <w:rPr>
          <w:rFonts w:cs="Times New Roman"/>
          <w:color w:val="000000" w:themeColor="text1"/>
        </w:rPr>
        <w:t xml:space="preserve"> With the new listed transaction</w:t>
      </w:r>
      <w:r>
        <w:rPr>
          <w:rFonts w:cs="Times New Roman"/>
          <w:color w:val="000000" w:themeColor="text1"/>
        </w:rPr>
        <w:t xml:space="preserve"> designation</w:t>
      </w:r>
      <w:r w:rsidRPr="00032367">
        <w:rPr>
          <w:rFonts w:cs="Times New Roman"/>
          <w:color w:val="000000" w:themeColor="text1"/>
        </w:rPr>
        <w:t>, material advisors who</w:t>
      </w:r>
      <w:r>
        <w:rPr>
          <w:rFonts w:cs="Times New Roman"/>
          <w:color w:val="000000" w:themeColor="text1"/>
        </w:rPr>
        <w:t xml:space="preserve"> </w:t>
      </w:r>
      <w:r w:rsidRPr="00032367">
        <w:rPr>
          <w:rFonts w:cs="Times New Roman"/>
          <w:color w:val="000000" w:themeColor="text1"/>
        </w:rPr>
        <w:t xml:space="preserve">fail to furnish information </w:t>
      </w:r>
      <w:r>
        <w:rPr>
          <w:rFonts w:cs="Times New Roman"/>
          <w:color w:val="000000" w:themeColor="text1"/>
        </w:rPr>
        <w:t>(</w:t>
      </w:r>
      <w:r w:rsidRPr="00032367">
        <w:rPr>
          <w:rFonts w:cs="Times New Roman"/>
          <w:color w:val="000000" w:themeColor="text1"/>
        </w:rPr>
        <w:t>or timely file</w:t>
      </w:r>
      <w:r>
        <w:rPr>
          <w:rFonts w:cs="Times New Roman"/>
          <w:color w:val="000000" w:themeColor="text1"/>
        </w:rPr>
        <w:t>)</w:t>
      </w:r>
      <w:r w:rsidRPr="00032367">
        <w:rPr>
          <w:rFonts w:cs="Times New Roman"/>
          <w:color w:val="000000" w:themeColor="text1"/>
        </w:rPr>
        <w:t xml:space="preserve"> can face a higher penalty </w:t>
      </w:r>
      <w:r>
        <w:rPr>
          <w:rFonts w:cs="Times New Roman"/>
          <w:color w:val="000000" w:themeColor="text1"/>
        </w:rPr>
        <w:t xml:space="preserve">equal to </w:t>
      </w:r>
      <w:r w:rsidRPr="00032367">
        <w:rPr>
          <w:rFonts w:cs="Times New Roman"/>
          <w:color w:val="000000" w:themeColor="text1"/>
        </w:rPr>
        <w:t>the greater of 50% of the income derived for assisting in the transaction or a flat fee of $200,000.</w:t>
      </w:r>
      <w:r w:rsidRPr="00032367">
        <w:rPr>
          <w:rStyle w:val="FootnoteReference"/>
          <w:rFonts w:cs="Times New Roman"/>
          <w:color w:val="000000" w:themeColor="text1"/>
        </w:rPr>
        <w:footnoteReference w:id="203"/>
      </w:r>
      <w:r w:rsidRPr="00032367">
        <w:rPr>
          <w:rFonts w:cs="Times New Roman"/>
          <w:color w:val="000000" w:themeColor="text1"/>
        </w:rPr>
        <w:t xml:space="preserve"> Further, the Secretary may request a written list of the material advisor</w:t>
      </w:r>
      <w:r w:rsidR="00750FAE">
        <w:rPr>
          <w:rFonts w:cs="Times New Roman"/>
          <w:color w:val="000000" w:themeColor="text1"/>
        </w:rPr>
        <w:t>’</w:t>
      </w:r>
      <w:r w:rsidRPr="00032367">
        <w:rPr>
          <w:rFonts w:cs="Times New Roman"/>
          <w:color w:val="000000" w:themeColor="text1"/>
        </w:rPr>
        <w:t xml:space="preserve">s advisees, which the material advisor would have </w:t>
      </w:r>
      <w:r w:rsidR="003913E2">
        <w:rPr>
          <w:rFonts w:cs="Times New Roman"/>
          <w:color w:val="000000" w:themeColor="text1"/>
        </w:rPr>
        <w:t>twenty</w:t>
      </w:r>
      <w:r w:rsidRPr="00032367">
        <w:rPr>
          <w:rFonts w:cs="Times New Roman"/>
          <w:color w:val="000000" w:themeColor="text1"/>
        </w:rPr>
        <w:t xml:space="preserve"> days from the Secretary’s notice to send this list.</w:t>
      </w:r>
      <w:r w:rsidRPr="00032367">
        <w:rPr>
          <w:rStyle w:val="FootnoteReference"/>
          <w:rFonts w:cs="Times New Roman"/>
          <w:color w:val="000000" w:themeColor="text1"/>
        </w:rPr>
        <w:footnoteReference w:id="204"/>
      </w:r>
      <w:r w:rsidRPr="00032367">
        <w:rPr>
          <w:rFonts w:cs="Times New Roman"/>
          <w:color w:val="000000" w:themeColor="text1"/>
        </w:rPr>
        <w:t xml:space="preserve"> The material advisor could face penalties of up to $10,000 each day after the </w:t>
      </w:r>
      <w:r w:rsidR="00750FAE">
        <w:rPr>
          <w:rFonts w:cs="Times New Roman"/>
          <w:color w:val="000000" w:themeColor="text1"/>
        </w:rPr>
        <w:t>twentieth</w:t>
      </w:r>
      <w:r w:rsidR="00375E05">
        <w:rPr>
          <w:rFonts w:cs="Times New Roman"/>
          <w:color w:val="000000" w:themeColor="text1"/>
        </w:rPr>
        <w:t xml:space="preserve"> </w:t>
      </w:r>
      <w:r w:rsidRPr="00032367">
        <w:rPr>
          <w:rFonts w:cs="Times New Roman"/>
          <w:color w:val="000000" w:themeColor="text1"/>
        </w:rPr>
        <w:t>day of failure to disclose</w:t>
      </w:r>
      <w:r w:rsidR="00750FAE">
        <w:rPr>
          <w:rFonts w:cs="Times New Roman"/>
          <w:color w:val="000000" w:themeColor="text1"/>
        </w:rPr>
        <w:t>,</w:t>
      </w:r>
      <w:r w:rsidRPr="00032367">
        <w:rPr>
          <w:rStyle w:val="FootnoteReference"/>
          <w:rFonts w:cs="Times New Roman"/>
          <w:color w:val="000000" w:themeColor="text1"/>
        </w:rPr>
        <w:footnoteReference w:id="205"/>
      </w:r>
      <w:r w:rsidRPr="00032367">
        <w:rPr>
          <w:rFonts w:cs="Times New Roman"/>
          <w:color w:val="000000" w:themeColor="text1"/>
        </w:rPr>
        <w:t xml:space="preserve"> unless </w:t>
      </w:r>
      <w:r>
        <w:rPr>
          <w:rFonts w:cs="Times New Roman"/>
          <w:color w:val="000000" w:themeColor="text1"/>
        </w:rPr>
        <w:t xml:space="preserve">the advisor fails </w:t>
      </w:r>
      <w:r w:rsidRPr="00032367">
        <w:rPr>
          <w:rFonts w:cs="Times New Roman"/>
          <w:color w:val="000000" w:themeColor="text1"/>
        </w:rPr>
        <w:t>for reasonable cause.</w:t>
      </w:r>
      <w:r w:rsidRPr="00032367">
        <w:rPr>
          <w:rStyle w:val="FootnoteReference"/>
          <w:rFonts w:cs="Times New Roman"/>
          <w:color w:val="000000" w:themeColor="text1"/>
        </w:rPr>
        <w:footnoteReference w:id="206"/>
      </w:r>
      <w:r w:rsidRPr="00032367">
        <w:rPr>
          <w:rFonts w:cs="Times New Roman"/>
          <w:color w:val="000000" w:themeColor="text1"/>
        </w:rPr>
        <w:t xml:space="preserve"> </w:t>
      </w:r>
    </w:p>
    <w:p w14:paraId="3F43FBA7" w14:textId="48835217" w:rsidR="005B517A" w:rsidRPr="00032367" w:rsidRDefault="005B517A" w:rsidP="00357836">
      <w:pPr>
        <w:rPr>
          <w:rFonts w:cs="Times New Roman"/>
          <w:color w:val="000000" w:themeColor="text1"/>
        </w:rPr>
      </w:pPr>
      <w:r w:rsidRPr="00032367">
        <w:rPr>
          <w:rFonts w:cs="Times New Roman"/>
          <w:color w:val="000000" w:themeColor="text1"/>
        </w:rPr>
        <w:t xml:space="preserve">Third, the Proposed Regulations </w:t>
      </w:r>
      <w:r>
        <w:rPr>
          <w:rFonts w:cs="Times New Roman"/>
          <w:color w:val="000000" w:themeColor="text1"/>
        </w:rPr>
        <w:t xml:space="preserve">also detail other </w:t>
      </w:r>
      <w:r w:rsidRPr="00032367">
        <w:rPr>
          <w:rFonts w:cs="Times New Roman"/>
          <w:color w:val="000000" w:themeColor="text1"/>
        </w:rPr>
        <w:t xml:space="preserve">penalties for </w:t>
      </w:r>
      <w:r>
        <w:rPr>
          <w:rFonts w:cs="Times New Roman"/>
          <w:color w:val="000000" w:themeColor="text1"/>
        </w:rPr>
        <w:t>participating ta</w:t>
      </w:r>
      <w:r w:rsidRPr="00032367">
        <w:rPr>
          <w:rFonts w:cs="Times New Roman"/>
          <w:color w:val="000000" w:themeColor="text1"/>
        </w:rPr>
        <w:t>xpayers and material advisors</w:t>
      </w:r>
      <w:r>
        <w:rPr>
          <w:rFonts w:cs="Times New Roman"/>
          <w:color w:val="000000" w:themeColor="text1"/>
        </w:rPr>
        <w:t xml:space="preserve"> who take part </w:t>
      </w:r>
      <w:r w:rsidRPr="00032367">
        <w:rPr>
          <w:rFonts w:cs="Times New Roman"/>
          <w:color w:val="000000" w:themeColor="text1"/>
        </w:rPr>
        <w:t xml:space="preserve">in </w:t>
      </w:r>
      <w:r>
        <w:rPr>
          <w:rFonts w:cs="Times New Roman"/>
          <w:color w:val="000000" w:themeColor="text1"/>
        </w:rPr>
        <w:t xml:space="preserve">an </w:t>
      </w:r>
      <w:r w:rsidRPr="00032367">
        <w:rPr>
          <w:rFonts w:cs="Times New Roman"/>
          <w:color w:val="000000" w:themeColor="text1"/>
        </w:rPr>
        <w:t>abusive micro-captive scheme.</w:t>
      </w:r>
      <w:r w:rsidRPr="00032367">
        <w:rPr>
          <w:rStyle w:val="FootnoteReference"/>
          <w:rFonts w:cs="Times New Roman"/>
          <w:color w:val="000000" w:themeColor="text1"/>
        </w:rPr>
        <w:footnoteReference w:id="207"/>
      </w:r>
      <w:r w:rsidRPr="00032367">
        <w:rPr>
          <w:rFonts w:cs="Times New Roman"/>
          <w:color w:val="000000" w:themeColor="text1"/>
        </w:rPr>
        <w:t xml:space="preserve"> For promoting abusive tax shelters through intentionally false statements, using statements that one would reasonably know </w:t>
      </w:r>
      <w:r w:rsidR="00750FAE">
        <w:rPr>
          <w:rFonts w:cs="Times New Roman"/>
          <w:color w:val="000000" w:themeColor="text1"/>
        </w:rPr>
        <w:t>are</w:t>
      </w:r>
      <w:r w:rsidRPr="00032367">
        <w:rPr>
          <w:rFonts w:cs="Times New Roman"/>
          <w:color w:val="000000" w:themeColor="text1"/>
        </w:rPr>
        <w:t xml:space="preserve"> false, or giving a gross valuation overstatement, Section 6700 designates a penalty of $1,000</w:t>
      </w:r>
      <w:r w:rsidRPr="00032367">
        <w:rPr>
          <w:rStyle w:val="FootnoteReference"/>
          <w:rFonts w:cs="Times New Roman"/>
          <w:color w:val="000000" w:themeColor="text1"/>
        </w:rPr>
        <w:footnoteReference w:id="208"/>
      </w:r>
      <w:r w:rsidRPr="00032367">
        <w:rPr>
          <w:rFonts w:cs="Times New Roman"/>
          <w:color w:val="000000" w:themeColor="text1"/>
        </w:rPr>
        <w:t xml:space="preserve"> for each arrangement and an additional 50% penalty for any income derived from these statements.</w:t>
      </w:r>
      <w:r w:rsidRPr="00032367">
        <w:rPr>
          <w:rStyle w:val="FootnoteReference"/>
          <w:rFonts w:cs="Times New Roman"/>
          <w:color w:val="000000" w:themeColor="text1"/>
        </w:rPr>
        <w:footnoteReference w:id="209"/>
      </w:r>
      <w:r w:rsidRPr="00032367">
        <w:rPr>
          <w:rFonts w:cs="Times New Roman"/>
          <w:color w:val="000000" w:themeColor="text1"/>
        </w:rPr>
        <w:t xml:space="preserve"> There is also a knowledge requirement that the IRS must prove unless the individual made a gross valuation overstatement, which is when the fair market value would exceed 200% of what was on the tax return.</w:t>
      </w:r>
      <w:r w:rsidRPr="00032367">
        <w:rPr>
          <w:rStyle w:val="FootnoteReference"/>
          <w:rFonts w:cs="Times New Roman"/>
          <w:color w:val="000000" w:themeColor="text1"/>
        </w:rPr>
        <w:footnoteReference w:id="210"/>
      </w:r>
    </w:p>
    <w:p w14:paraId="2E1A186D" w14:textId="754D3675" w:rsidR="005B517A" w:rsidRPr="00032367" w:rsidRDefault="005B517A" w:rsidP="00357836">
      <w:pPr>
        <w:rPr>
          <w:rFonts w:cs="Times New Roman"/>
          <w:color w:val="000000" w:themeColor="text1"/>
        </w:rPr>
      </w:pPr>
      <w:r w:rsidRPr="00032367">
        <w:rPr>
          <w:rFonts w:cs="Times New Roman"/>
          <w:color w:val="000000" w:themeColor="text1"/>
        </w:rPr>
        <w:t xml:space="preserve">As an example of a Section 6700 penalty, if an individual organized a micro-captive and encouraged </w:t>
      </w:r>
      <w:r w:rsidR="003913E2">
        <w:rPr>
          <w:rFonts w:cs="Times New Roman"/>
          <w:color w:val="000000" w:themeColor="text1"/>
        </w:rPr>
        <w:t>five</w:t>
      </w:r>
      <w:r w:rsidRPr="00032367">
        <w:rPr>
          <w:rFonts w:cs="Times New Roman"/>
          <w:color w:val="000000" w:themeColor="text1"/>
        </w:rPr>
        <w:t xml:space="preserve"> corporations to buy an interest in the entity to gain a supposedly lawful deduction, there would be a $5,000 penalty.</w:t>
      </w:r>
      <w:r w:rsidRPr="00032367">
        <w:rPr>
          <w:rStyle w:val="FootnoteReference"/>
          <w:rFonts w:cs="Times New Roman"/>
          <w:color w:val="000000" w:themeColor="text1"/>
        </w:rPr>
        <w:footnoteReference w:id="211"/>
      </w:r>
      <w:r w:rsidRPr="00032367">
        <w:rPr>
          <w:rFonts w:cs="Times New Roman"/>
          <w:color w:val="000000" w:themeColor="text1"/>
        </w:rPr>
        <w:t xml:space="preserve"> Since there were </w:t>
      </w:r>
      <w:r w:rsidR="003913E2">
        <w:rPr>
          <w:rFonts w:cs="Times New Roman"/>
          <w:color w:val="000000" w:themeColor="text1"/>
        </w:rPr>
        <w:t>five</w:t>
      </w:r>
      <w:r w:rsidRPr="00032367">
        <w:rPr>
          <w:rFonts w:cs="Times New Roman"/>
          <w:color w:val="000000" w:themeColor="text1"/>
        </w:rPr>
        <w:t xml:space="preserve"> arrangements with </w:t>
      </w:r>
      <w:r w:rsidR="003913E2">
        <w:rPr>
          <w:rFonts w:cs="Times New Roman"/>
          <w:color w:val="000000" w:themeColor="text1"/>
        </w:rPr>
        <w:t>five</w:t>
      </w:r>
      <w:r w:rsidRPr="00032367">
        <w:rPr>
          <w:rFonts w:cs="Times New Roman"/>
          <w:color w:val="000000" w:themeColor="text1"/>
        </w:rPr>
        <w:t xml:space="preserve"> different corporations, the IRS could impose a $5,000 fine if </w:t>
      </w:r>
      <w:r w:rsidR="003913E2">
        <w:rPr>
          <w:rFonts w:cs="Times New Roman"/>
          <w:color w:val="000000" w:themeColor="text1"/>
        </w:rPr>
        <w:t>it</w:t>
      </w:r>
      <w:r w:rsidRPr="00032367">
        <w:rPr>
          <w:rFonts w:cs="Times New Roman"/>
          <w:color w:val="000000" w:themeColor="text1"/>
        </w:rPr>
        <w:t xml:space="preserve"> proved the statements </w:t>
      </w:r>
      <w:r>
        <w:rPr>
          <w:rFonts w:cs="Times New Roman"/>
          <w:color w:val="000000" w:themeColor="text1"/>
        </w:rPr>
        <w:t xml:space="preserve">were </w:t>
      </w:r>
      <w:r w:rsidRPr="00032367">
        <w:rPr>
          <w:rFonts w:cs="Times New Roman"/>
          <w:color w:val="000000" w:themeColor="text1"/>
        </w:rPr>
        <w:t xml:space="preserve">false or should be </w:t>
      </w:r>
      <w:r>
        <w:rPr>
          <w:rFonts w:cs="Times New Roman"/>
          <w:color w:val="000000" w:themeColor="text1"/>
        </w:rPr>
        <w:lastRenderedPageBreak/>
        <w:t xml:space="preserve">reasonably </w:t>
      </w:r>
      <w:r w:rsidRPr="00032367">
        <w:rPr>
          <w:rFonts w:cs="Times New Roman"/>
          <w:color w:val="000000" w:themeColor="text1"/>
        </w:rPr>
        <w:t>known as false.</w:t>
      </w:r>
      <w:r w:rsidRPr="00032367">
        <w:rPr>
          <w:rStyle w:val="FootnoteReference"/>
          <w:rFonts w:cs="Times New Roman"/>
          <w:color w:val="000000" w:themeColor="text1"/>
        </w:rPr>
        <w:footnoteReference w:id="212"/>
      </w:r>
      <w:r w:rsidRPr="00032367">
        <w:rPr>
          <w:rFonts w:cs="Times New Roman"/>
          <w:color w:val="000000" w:themeColor="text1"/>
        </w:rPr>
        <w:t xml:space="preserve"> If the corporation also paid the individual $10,000 for the arrangement, there would be an additional $5,000 penalty on the individual due to the 50% penalty for income gained.</w:t>
      </w:r>
      <w:r w:rsidRPr="00032367">
        <w:rPr>
          <w:rStyle w:val="FootnoteReference"/>
          <w:rFonts w:cs="Times New Roman"/>
          <w:color w:val="000000" w:themeColor="text1"/>
        </w:rPr>
        <w:footnoteReference w:id="213"/>
      </w:r>
      <w:r w:rsidRPr="00032367">
        <w:rPr>
          <w:rFonts w:cs="Times New Roman"/>
          <w:color w:val="000000" w:themeColor="text1"/>
        </w:rPr>
        <w:t xml:space="preserve"> However, if the IRS found a gross valuation overstatement, </w:t>
      </w:r>
      <w:r w:rsidR="003913E2">
        <w:rPr>
          <w:rFonts w:cs="Times New Roman"/>
          <w:color w:val="000000" w:themeColor="text1"/>
        </w:rPr>
        <w:t>it</w:t>
      </w:r>
      <w:r w:rsidRPr="00032367">
        <w:rPr>
          <w:rFonts w:cs="Times New Roman"/>
          <w:color w:val="000000" w:themeColor="text1"/>
        </w:rPr>
        <w:t xml:space="preserve"> could skip proving any falseness of statements.</w:t>
      </w:r>
      <w:r w:rsidRPr="00032367">
        <w:rPr>
          <w:rStyle w:val="FootnoteReference"/>
          <w:rFonts w:cs="Times New Roman"/>
          <w:color w:val="000000" w:themeColor="text1"/>
        </w:rPr>
        <w:footnoteReference w:id="214"/>
      </w:r>
      <w:r w:rsidRPr="00032367">
        <w:rPr>
          <w:rFonts w:cs="Times New Roman"/>
          <w:color w:val="000000" w:themeColor="text1"/>
        </w:rPr>
        <w:t xml:space="preserve"> With the prior example, if the amount placed on the tax return were $50,000 but, in actuality, the number should have been $200,000, there would be a gross valuation overstatement, which means the IRS could automatically penalize $1,000 for each arrangement.</w:t>
      </w:r>
      <w:r w:rsidRPr="00032367">
        <w:rPr>
          <w:rStyle w:val="FootnoteReference"/>
          <w:rFonts w:cs="Times New Roman"/>
          <w:color w:val="000000" w:themeColor="text1"/>
        </w:rPr>
        <w:footnoteReference w:id="215"/>
      </w:r>
      <w:r w:rsidRPr="00032367">
        <w:rPr>
          <w:rFonts w:cs="Times New Roman"/>
          <w:color w:val="000000" w:themeColor="text1"/>
        </w:rPr>
        <w:t xml:space="preserve"> </w:t>
      </w:r>
    </w:p>
    <w:p w14:paraId="3A27D082" w14:textId="77777777" w:rsidR="005B517A" w:rsidRPr="00032367" w:rsidRDefault="005B517A" w:rsidP="00357836">
      <w:pPr>
        <w:rPr>
          <w:rFonts w:cs="Times New Roman"/>
          <w:color w:val="000000" w:themeColor="text1"/>
        </w:rPr>
      </w:pPr>
      <w:r>
        <w:rPr>
          <w:rFonts w:cs="Times New Roman"/>
          <w:color w:val="000000" w:themeColor="text1"/>
        </w:rPr>
        <w:t>Other penalty regimes contained in</w:t>
      </w:r>
      <w:r w:rsidRPr="00032367">
        <w:rPr>
          <w:rFonts w:cs="Times New Roman"/>
          <w:color w:val="000000" w:themeColor="text1"/>
        </w:rPr>
        <w:t xml:space="preserve"> the Proposed Regulations </w:t>
      </w:r>
      <w:r>
        <w:rPr>
          <w:rFonts w:cs="Times New Roman"/>
          <w:color w:val="000000" w:themeColor="text1"/>
        </w:rPr>
        <w:t xml:space="preserve">(but not in </w:t>
      </w:r>
      <w:r w:rsidRPr="00032367">
        <w:rPr>
          <w:rFonts w:cs="Times New Roman"/>
          <w:color w:val="000000" w:themeColor="text1"/>
        </w:rPr>
        <w:t>Notice 2016-66</w:t>
      </w:r>
      <w:r>
        <w:rPr>
          <w:rFonts w:cs="Times New Roman"/>
          <w:color w:val="000000" w:themeColor="text1"/>
        </w:rPr>
        <w:t>)</w:t>
      </w:r>
      <w:r w:rsidRPr="00032367">
        <w:rPr>
          <w:rFonts w:cs="Times New Roman"/>
          <w:color w:val="000000" w:themeColor="text1"/>
        </w:rPr>
        <w:t xml:space="preserve"> </w:t>
      </w:r>
      <w:r>
        <w:rPr>
          <w:rFonts w:cs="Times New Roman"/>
          <w:color w:val="000000" w:themeColor="text1"/>
        </w:rPr>
        <w:t xml:space="preserve">are Section 6700 </w:t>
      </w:r>
      <w:r w:rsidRPr="00032367">
        <w:rPr>
          <w:rFonts w:cs="Times New Roman"/>
          <w:color w:val="000000" w:themeColor="text1"/>
        </w:rPr>
        <w:t>through Section 6701.</w:t>
      </w:r>
      <w:r w:rsidRPr="00032367">
        <w:rPr>
          <w:rStyle w:val="FootnoteReference"/>
          <w:rFonts w:cs="Times New Roman"/>
          <w:color w:val="000000" w:themeColor="text1"/>
        </w:rPr>
        <w:footnoteReference w:id="216"/>
      </w:r>
      <w:r w:rsidRPr="00032367">
        <w:rPr>
          <w:rFonts w:cs="Times New Roman"/>
          <w:color w:val="000000" w:themeColor="text1"/>
        </w:rPr>
        <w:t xml:space="preserve"> The IRS may penalize an individual $1,000 </w:t>
      </w:r>
      <w:r>
        <w:rPr>
          <w:rFonts w:cs="Times New Roman"/>
          <w:color w:val="000000" w:themeColor="text1"/>
        </w:rPr>
        <w:t>(</w:t>
      </w:r>
      <w:r w:rsidRPr="00032367">
        <w:rPr>
          <w:rFonts w:cs="Times New Roman"/>
          <w:color w:val="000000" w:themeColor="text1"/>
        </w:rPr>
        <w:t>or $10,000 for a corporation</w:t>
      </w:r>
      <w:r>
        <w:rPr>
          <w:rFonts w:cs="Times New Roman"/>
          <w:color w:val="000000" w:themeColor="text1"/>
        </w:rPr>
        <w:t>)</w:t>
      </w:r>
      <w:r w:rsidRPr="00032367">
        <w:rPr>
          <w:rFonts w:cs="Times New Roman"/>
          <w:color w:val="000000" w:themeColor="text1"/>
        </w:rPr>
        <w:t xml:space="preserve"> for aiding and abetting an understatement </w:t>
      </w:r>
      <w:r>
        <w:rPr>
          <w:rFonts w:cs="Times New Roman"/>
          <w:color w:val="000000" w:themeColor="text1"/>
        </w:rPr>
        <w:t xml:space="preserve">on </w:t>
      </w:r>
      <w:r w:rsidRPr="00032367">
        <w:rPr>
          <w:rFonts w:cs="Times New Roman"/>
          <w:color w:val="000000" w:themeColor="text1"/>
        </w:rPr>
        <w:t>a tax return.</w:t>
      </w:r>
      <w:r w:rsidRPr="00032367">
        <w:rPr>
          <w:rStyle w:val="FootnoteReference"/>
          <w:rFonts w:cs="Times New Roman"/>
          <w:color w:val="000000" w:themeColor="text1"/>
        </w:rPr>
        <w:footnoteReference w:id="217"/>
      </w:r>
      <w:r w:rsidRPr="00032367">
        <w:rPr>
          <w:rFonts w:cs="Times New Roman"/>
          <w:color w:val="000000" w:themeColor="text1"/>
        </w:rPr>
        <w:t xml:space="preserve"> The aiding and abetting penalty is helpful for the IRS when the IRS cannot prove the falseness of a statement or find the presence of a gross valuation overstatement.</w:t>
      </w:r>
      <w:r w:rsidRPr="00032367">
        <w:rPr>
          <w:rStyle w:val="FootnoteReference"/>
          <w:rFonts w:cs="Times New Roman"/>
          <w:color w:val="000000" w:themeColor="text1"/>
        </w:rPr>
        <w:footnoteReference w:id="218"/>
      </w:r>
      <w:r w:rsidRPr="00032367">
        <w:rPr>
          <w:rFonts w:cs="Times New Roman"/>
          <w:color w:val="000000" w:themeColor="text1"/>
        </w:rPr>
        <w:t xml:space="preserve"> In the last example from the previous paragraph, the IRS, through Section 6701, </w:t>
      </w:r>
      <w:r>
        <w:rPr>
          <w:rFonts w:cs="Times New Roman"/>
          <w:color w:val="000000" w:themeColor="text1"/>
        </w:rPr>
        <w:t>c</w:t>
      </w:r>
      <w:r w:rsidRPr="00032367">
        <w:rPr>
          <w:rFonts w:cs="Times New Roman"/>
          <w:color w:val="000000" w:themeColor="text1"/>
        </w:rPr>
        <w:t>oul</w:t>
      </w:r>
      <w:r>
        <w:rPr>
          <w:rFonts w:cs="Times New Roman"/>
          <w:color w:val="000000" w:themeColor="text1"/>
        </w:rPr>
        <w:t>d</w:t>
      </w:r>
      <w:r w:rsidRPr="00032367">
        <w:rPr>
          <w:rFonts w:cs="Times New Roman"/>
          <w:color w:val="000000" w:themeColor="text1"/>
        </w:rPr>
        <w:t xml:space="preserve"> penalize a natural person $1,000 for the understatement on the tax return.</w:t>
      </w:r>
      <w:r w:rsidRPr="00032367">
        <w:rPr>
          <w:rStyle w:val="FootnoteReference"/>
          <w:rFonts w:cs="Times New Roman"/>
          <w:color w:val="000000" w:themeColor="text1"/>
        </w:rPr>
        <w:footnoteReference w:id="219"/>
      </w:r>
      <w:r w:rsidRPr="00032367">
        <w:rPr>
          <w:rFonts w:cs="Times New Roman"/>
          <w:color w:val="000000" w:themeColor="text1"/>
        </w:rPr>
        <w:t xml:space="preserve"> Section 6701 is essentially a catch-all penalty that allows the IRS to punish those handling micro-captive transactions </w:t>
      </w:r>
      <w:r>
        <w:rPr>
          <w:rFonts w:cs="Times New Roman"/>
          <w:color w:val="000000" w:themeColor="text1"/>
        </w:rPr>
        <w:t>with reporting</w:t>
      </w:r>
      <w:r w:rsidRPr="00032367">
        <w:rPr>
          <w:rFonts w:cs="Times New Roman"/>
          <w:color w:val="000000" w:themeColor="text1"/>
        </w:rPr>
        <w:t xml:space="preserve"> understatements.</w:t>
      </w:r>
    </w:p>
    <w:p w14:paraId="692ABDB2" w14:textId="53BF2651" w:rsidR="008C5B4A" w:rsidRPr="00032367" w:rsidRDefault="005B517A" w:rsidP="00357836">
      <w:pPr>
        <w:rPr>
          <w:rFonts w:cs="Times New Roman"/>
          <w:color w:val="000000" w:themeColor="text1"/>
        </w:rPr>
      </w:pPr>
      <w:r w:rsidRPr="00032367">
        <w:rPr>
          <w:rFonts w:cs="Times New Roman"/>
          <w:color w:val="000000" w:themeColor="text1"/>
        </w:rPr>
        <w:t xml:space="preserve">Finally, </w:t>
      </w:r>
      <w:r>
        <w:rPr>
          <w:rFonts w:cs="Times New Roman"/>
          <w:color w:val="000000" w:themeColor="text1"/>
        </w:rPr>
        <w:t>another</w:t>
      </w:r>
      <w:r w:rsidRPr="00032367">
        <w:rPr>
          <w:rFonts w:cs="Times New Roman"/>
          <w:color w:val="000000" w:themeColor="text1"/>
        </w:rPr>
        <w:t xml:space="preserve"> factor could allow the IRS </w:t>
      </w:r>
      <w:r>
        <w:rPr>
          <w:rFonts w:cs="Times New Roman"/>
          <w:color w:val="000000" w:themeColor="text1"/>
        </w:rPr>
        <w:t>more room to penalize</w:t>
      </w:r>
      <w:r w:rsidRPr="00032367">
        <w:rPr>
          <w:rFonts w:cs="Times New Roman"/>
          <w:color w:val="000000" w:themeColor="text1"/>
        </w:rPr>
        <w:t xml:space="preserve"> participants </w:t>
      </w:r>
      <w:r>
        <w:rPr>
          <w:rFonts w:cs="Times New Roman"/>
          <w:color w:val="000000" w:themeColor="text1"/>
        </w:rPr>
        <w:t xml:space="preserve">required to </w:t>
      </w:r>
      <w:r w:rsidRPr="00032367">
        <w:rPr>
          <w:rFonts w:cs="Times New Roman"/>
          <w:color w:val="000000" w:themeColor="text1"/>
        </w:rPr>
        <w:t>fil</w:t>
      </w:r>
      <w:r>
        <w:rPr>
          <w:rFonts w:cs="Times New Roman"/>
          <w:color w:val="000000" w:themeColor="text1"/>
        </w:rPr>
        <w:t>e</w:t>
      </w:r>
      <w:r w:rsidRPr="00032367">
        <w:rPr>
          <w:rFonts w:cs="Times New Roman"/>
          <w:color w:val="000000" w:themeColor="text1"/>
        </w:rPr>
        <w:t xml:space="preserve"> tax information about micro-captive transactions.</w:t>
      </w:r>
      <w:r w:rsidRPr="00032367">
        <w:rPr>
          <w:rStyle w:val="FootnoteReference"/>
          <w:rFonts w:cs="Times New Roman"/>
          <w:color w:val="000000" w:themeColor="text1"/>
        </w:rPr>
        <w:footnoteReference w:id="220"/>
      </w:r>
      <w:r w:rsidRPr="00032367">
        <w:rPr>
          <w:rFonts w:cs="Times New Roman"/>
          <w:color w:val="000000" w:themeColor="text1"/>
        </w:rPr>
        <w:t xml:space="preserve"> Suppose a participant fails to include micro-captive details on a tax return or statement.</w:t>
      </w:r>
      <w:r w:rsidRPr="00032367">
        <w:rPr>
          <w:rStyle w:val="FootnoteReference"/>
          <w:rFonts w:cs="Times New Roman"/>
          <w:color w:val="000000" w:themeColor="text1"/>
        </w:rPr>
        <w:footnoteReference w:id="221"/>
      </w:r>
      <w:r w:rsidRPr="00032367">
        <w:rPr>
          <w:rFonts w:cs="Times New Roman"/>
          <w:color w:val="000000" w:themeColor="text1"/>
        </w:rPr>
        <w:t xml:space="preserve"> In that case, the Secretary automatically gains one additional year of tax assessment because of the new listed transaction designation.</w:t>
      </w:r>
      <w:r w:rsidRPr="00032367">
        <w:rPr>
          <w:rStyle w:val="FootnoteReference"/>
          <w:rFonts w:cs="Times New Roman"/>
          <w:color w:val="000000" w:themeColor="text1"/>
        </w:rPr>
        <w:footnoteReference w:id="222"/>
      </w:r>
      <w:r w:rsidRPr="00032367">
        <w:rPr>
          <w:rFonts w:cs="Times New Roman"/>
          <w:color w:val="000000" w:themeColor="text1"/>
        </w:rPr>
        <w:t xml:space="preserve"> This extra year begins the earlier of once the Secretary receives the required information or when the material advisor sends the Secretary the necessary lists about the micro-captive’s transaction history.</w:t>
      </w:r>
      <w:r w:rsidRPr="00032367">
        <w:rPr>
          <w:rStyle w:val="FootnoteReference"/>
          <w:rFonts w:cs="Times New Roman"/>
          <w:color w:val="000000" w:themeColor="text1"/>
        </w:rPr>
        <w:footnoteReference w:id="223"/>
      </w:r>
    </w:p>
    <w:p w14:paraId="016C6146" w14:textId="696C4AAC" w:rsidR="005B517A" w:rsidRPr="00B94686" w:rsidRDefault="005B517A" w:rsidP="00C242D9">
      <w:pPr>
        <w:pStyle w:val="Heading1"/>
        <w:rPr>
          <w:smallCaps w:val="0"/>
        </w:rPr>
      </w:pPr>
      <w:bookmarkStart w:id="30" w:name="_Toc158623014"/>
      <w:r w:rsidRPr="00B94686">
        <w:lastRenderedPageBreak/>
        <w:t xml:space="preserve">Likely Effect of </w:t>
      </w:r>
      <w:r w:rsidRPr="00C242D9">
        <w:t>Prop</w:t>
      </w:r>
      <w:r w:rsidR="00750FAE" w:rsidRPr="00C242D9">
        <w:t>osed</w:t>
      </w:r>
      <w:r w:rsidRPr="00B94686">
        <w:t xml:space="preserve"> Reg</w:t>
      </w:r>
      <w:r w:rsidR="00750FAE">
        <w:t>ulations</w:t>
      </w:r>
      <w:r w:rsidRPr="00B94686">
        <w:t xml:space="preserve"> on Aggressive </w:t>
      </w:r>
      <w:r w:rsidRPr="00CC2D68">
        <w:t>Transactions</w:t>
      </w:r>
      <w:bookmarkEnd w:id="30"/>
    </w:p>
    <w:p w14:paraId="35DC62BE" w14:textId="2054E7D7" w:rsidR="005B517A" w:rsidRPr="00DB2547" w:rsidRDefault="005B517A" w:rsidP="00CC2D68">
      <w:pPr>
        <w:pStyle w:val="Heading2"/>
      </w:pPr>
      <w:bookmarkStart w:id="31" w:name="_Toc158623015"/>
      <w:r w:rsidRPr="00CC2D68">
        <w:t>Deterrence</w:t>
      </w:r>
      <w:r w:rsidRPr="00DB2547">
        <w:t xml:space="preserve"> from Micro-</w:t>
      </w:r>
      <w:r w:rsidR="00750FAE">
        <w:t>C</w:t>
      </w:r>
      <w:r w:rsidRPr="00DB2547">
        <w:t>aptive Transactions</w:t>
      </w:r>
      <w:bookmarkEnd w:id="31"/>
    </w:p>
    <w:p w14:paraId="62C4E239" w14:textId="77777777" w:rsidR="005B517A" w:rsidRPr="00074814" w:rsidRDefault="005B517A" w:rsidP="00357836">
      <w:pPr>
        <w:rPr>
          <w:rFonts w:cs="Times New Roman"/>
          <w:color w:val="000000" w:themeColor="text1"/>
        </w:rPr>
      </w:pPr>
      <w:r w:rsidRPr="00032367">
        <w:rPr>
          <w:rFonts w:cs="Times New Roman"/>
          <w:color w:val="000000" w:themeColor="text1"/>
        </w:rPr>
        <w:t xml:space="preserve">The new </w:t>
      </w:r>
      <w:r>
        <w:rPr>
          <w:rFonts w:cs="Times New Roman"/>
          <w:color w:val="000000" w:themeColor="text1"/>
        </w:rPr>
        <w:t>P</w:t>
      </w:r>
      <w:r w:rsidRPr="00032367">
        <w:rPr>
          <w:rFonts w:cs="Times New Roman"/>
          <w:color w:val="000000" w:themeColor="text1"/>
        </w:rPr>
        <w:t xml:space="preserve">roposed </w:t>
      </w:r>
      <w:r>
        <w:rPr>
          <w:rFonts w:cs="Times New Roman"/>
          <w:color w:val="000000" w:themeColor="text1"/>
        </w:rPr>
        <w:t>R</w:t>
      </w:r>
      <w:r w:rsidRPr="00032367">
        <w:rPr>
          <w:rFonts w:cs="Times New Roman"/>
          <w:color w:val="000000" w:themeColor="text1"/>
        </w:rPr>
        <w:t xml:space="preserve">egulations will likely deter individuals from participating in micro-captive transactions for two key reasons: higher penalties and heightened scrutiny. </w:t>
      </w:r>
      <w:r w:rsidRPr="005345A6">
        <w:rPr>
          <w:rFonts w:cs="Times New Roman"/>
          <w:color w:val="000000" w:themeColor="text1"/>
        </w:rPr>
        <w:t xml:space="preserve">The </w:t>
      </w:r>
      <w:r>
        <w:rPr>
          <w:rFonts w:cs="Times New Roman"/>
          <w:color w:val="000000" w:themeColor="text1"/>
        </w:rPr>
        <w:t>biggest new factor in this regard is the potential for micro-captive participants to get ensnared in a listed transaction</w:t>
      </w:r>
      <w:r w:rsidRPr="005345A6">
        <w:rPr>
          <w:rFonts w:cs="Times New Roman"/>
          <w:color w:val="000000" w:themeColor="text1"/>
        </w:rPr>
        <w:t>.</w:t>
      </w:r>
      <w:bookmarkStart w:id="32" w:name="_Ref141550460"/>
      <w:r w:rsidRPr="005345A6">
        <w:rPr>
          <w:rStyle w:val="FootnoteReference"/>
          <w:rFonts w:cs="Times New Roman"/>
          <w:color w:val="000000" w:themeColor="text1"/>
        </w:rPr>
        <w:footnoteReference w:id="224"/>
      </w:r>
      <w:bookmarkEnd w:id="32"/>
      <w:r w:rsidRPr="005345A6">
        <w:rPr>
          <w:rFonts w:cs="Times New Roman"/>
          <w:color w:val="000000" w:themeColor="text1"/>
        </w:rPr>
        <w:t xml:space="preserve"> </w:t>
      </w:r>
      <w:r>
        <w:rPr>
          <w:rFonts w:cs="Times New Roman"/>
          <w:color w:val="000000" w:themeColor="text1"/>
        </w:rPr>
        <w:t>As discussed above, the listed transaction potential penalties have increased greatly over what non-compliant micro-captive participants previously faced under Notice 2016-66</w:t>
      </w:r>
      <w:r w:rsidRPr="005345A6">
        <w:rPr>
          <w:rFonts w:cs="Times New Roman"/>
          <w:color w:val="000000" w:themeColor="text1"/>
        </w:rPr>
        <w:t>.</w:t>
      </w:r>
      <w:r w:rsidRPr="005345A6">
        <w:rPr>
          <w:rStyle w:val="FootnoteReference"/>
          <w:rFonts w:cs="Times New Roman"/>
          <w:color w:val="000000" w:themeColor="text1"/>
        </w:rPr>
        <w:footnoteReference w:id="225"/>
      </w:r>
      <w:r w:rsidRPr="005345A6">
        <w:rPr>
          <w:rFonts w:cs="Times New Roman"/>
          <w:color w:val="000000" w:themeColor="text1"/>
        </w:rPr>
        <w:t xml:space="preserve"> For example, material advisors and taxpayers have a $150,000 and $90,000 increase, respectively, as a base penalty for failing to </w:t>
      </w:r>
      <w:r>
        <w:rPr>
          <w:rFonts w:cs="Times New Roman"/>
          <w:color w:val="000000" w:themeColor="text1"/>
        </w:rPr>
        <w:t>disclose</w:t>
      </w:r>
      <w:r w:rsidRPr="005345A6">
        <w:rPr>
          <w:rFonts w:cs="Times New Roman"/>
          <w:color w:val="000000" w:themeColor="text1"/>
        </w:rPr>
        <w:t xml:space="preserve"> a micro-captive listed transaction</w:t>
      </w:r>
      <w:r>
        <w:rPr>
          <w:rFonts w:cs="Times New Roman"/>
          <w:color w:val="000000" w:themeColor="text1"/>
        </w:rPr>
        <w:t xml:space="preserve"> over the Notice penalties</w:t>
      </w:r>
      <w:r w:rsidRPr="005345A6">
        <w:rPr>
          <w:rFonts w:cs="Times New Roman"/>
          <w:color w:val="000000" w:themeColor="text1"/>
        </w:rPr>
        <w:t>.</w:t>
      </w:r>
      <w:r w:rsidRPr="005345A6">
        <w:rPr>
          <w:rStyle w:val="FootnoteReference"/>
          <w:rFonts w:cs="Times New Roman"/>
          <w:color w:val="000000" w:themeColor="text1"/>
        </w:rPr>
        <w:footnoteReference w:id="226"/>
      </w:r>
      <w:r w:rsidRPr="005345A6">
        <w:rPr>
          <w:rFonts w:cs="Times New Roman"/>
          <w:color w:val="000000" w:themeColor="text1"/>
        </w:rPr>
        <w:t xml:space="preserve"> Additionally, </w:t>
      </w:r>
      <w:r>
        <w:rPr>
          <w:rFonts w:cs="Times New Roman"/>
          <w:color w:val="000000" w:themeColor="text1"/>
        </w:rPr>
        <w:t xml:space="preserve">all micro-captive participants also may end up being assessed the catch-all penalty included in </w:t>
      </w:r>
      <w:r w:rsidRPr="005345A6">
        <w:rPr>
          <w:rFonts w:cs="Times New Roman"/>
          <w:color w:val="000000" w:themeColor="text1"/>
        </w:rPr>
        <w:t>the Proposed Regulations.</w:t>
      </w:r>
      <w:r w:rsidRPr="005345A6">
        <w:rPr>
          <w:rStyle w:val="FootnoteReference"/>
          <w:rFonts w:cs="Times New Roman"/>
          <w:color w:val="000000" w:themeColor="text1"/>
        </w:rPr>
        <w:footnoteReference w:id="227"/>
      </w:r>
      <w:r w:rsidRPr="005345A6">
        <w:rPr>
          <w:rFonts w:cs="Times New Roman"/>
          <w:color w:val="000000" w:themeColor="text1"/>
        </w:rPr>
        <w:t xml:space="preserve"> </w:t>
      </w:r>
      <w:r>
        <w:rPr>
          <w:rFonts w:cs="Times New Roman"/>
          <w:color w:val="000000" w:themeColor="text1"/>
        </w:rPr>
        <w:t xml:space="preserve">This </w:t>
      </w:r>
      <w:r w:rsidRPr="005345A6">
        <w:rPr>
          <w:rFonts w:cs="Times New Roman"/>
          <w:color w:val="000000" w:themeColor="text1"/>
        </w:rPr>
        <w:t xml:space="preserve">catch-all penalty </w:t>
      </w:r>
      <w:r>
        <w:rPr>
          <w:rFonts w:cs="Times New Roman"/>
          <w:color w:val="000000" w:themeColor="text1"/>
        </w:rPr>
        <w:t>under</w:t>
      </w:r>
      <w:r w:rsidRPr="005345A6">
        <w:rPr>
          <w:rFonts w:cs="Times New Roman"/>
          <w:color w:val="000000" w:themeColor="text1"/>
        </w:rPr>
        <w:t xml:space="preserve"> Section 6701 for aiding or abetting an understatement of tax liability is easily administered since it only requires an understatement on a tax return.</w:t>
      </w:r>
      <w:r w:rsidRPr="005345A6">
        <w:rPr>
          <w:rStyle w:val="FootnoteReference"/>
          <w:rFonts w:cs="Times New Roman"/>
          <w:color w:val="000000" w:themeColor="text1"/>
        </w:rPr>
        <w:footnoteReference w:id="228"/>
      </w:r>
      <w:r w:rsidRPr="005345A6">
        <w:rPr>
          <w:rFonts w:cs="Times New Roman"/>
          <w:color w:val="000000" w:themeColor="text1"/>
        </w:rPr>
        <w:t xml:space="preserve"> </w:t>
      </w:r>
      <w:r>
        <w:rPr>
          <w:rFonts w:cs="Times New Roman"/>
          <w:color w:val="000000" w:themeColor="text1"/>
        </w:rPr>
        <w:t>As such, micro-captive participants and material advisors need to think hard on whether the compliance costs and potential assessable penalties for disclosure missteps are worth the benefits of the transaction</w:t>
      </w:r>
      <w:r w:rsidRPr="00032367">
        <w:rPr>
          <w:rFonts w:cs="Times New Roman"/>
          <w:color w:val="000000" w:themeColor="text1"/>
        </w:rPr>
        <w:t>.</w:t>
      </w:r>
      <w:r w:rsidRPr="00032367">
        <w:rPr>
          <w:rStyle w:val="FootnoteReference"/>
          <w:rFonts w:cs="Times New Roman"/>
          <w:color w:val="000000" w:themeColor="text1"/>
        </w:rPr>
        <w:footnoteReference w:id="229"/>
      </w:r>
      <w:r w:rsidRPr="00032367">
        <w:rPr>
          <w:rFonts w:cs="Times New Roman"/>
          <w:color w:val="000000" w:themeColor="text1"/>
        </w:rPr>
        <w:t xml:space="preserve"> </w:t>
      </w:r>
    </w:p>
    <w:p w14:paraId="362789C9" w14:textId="280BCCBA" w:rsidR="005B517A" w:rsidRPr="00032367" w:rsidRDefault="005B517A" w:rsidP="00357836">
      <w:pPr>
        <w:rPr>
          <w:rFonts w:cs="Times New Roman"/>
          <w:color w:val="000000" w:themeColor="text1"/>
        </w:rPr>
      </w:pPr>
      <w:r w:rsidRPr="00032367">
        <w:rPr>
          <w:rFonts w:cs="Times New Roman"/>
          <w:color w:val="000000" w:themeColor="text1"/>
        </w:rPr>
        <w:t xml:space="preserve">In </w:t>
      </w:r>
      <w:r>
        <w:rPr>
          <w:rFonts w:cs="Times New Roman"/>
          <w:color w:val="000000" w:themeColor="text1"/>
        </w:rPr>
        <w:t xml:space="preserve">addition to the increased potential penalties, the Proposed Regulations also bring greater scrutiny to certain aggressive micro-captive transactions. The IRS generally reserves listed transaction status for transactions that </w:t>
      </w:r>
      <w:r w:rsidR="003913E2">
        <w:rPr>
          <w:rFonts w:cs="Times New Roman"/>
          <w:color w:val="000000" w:themeColor="text1"/>
        </w:rPr>
        <w:t>it wants</w:t>
      </w:r>
      <w:r>
        <w:rPr>
          <w:rFonts w:cs="Times New Roman"/>
          <w:color w:val="000000" w:themeColor="text1"/>
        </w:rPr>
        <w:t xml:space="preserve"> to take a hard look at and nearly presume to be abusive and non-compliant</w:t>
      </w:r>
      <w:r w:rsidRPr="00032367">
        <w:rPr>
          <w:rFonts w:cs="Times New Roman"/>
          <w:color w:val="000000" w:themeColor="text1"/>
        </w:rPr>
        <w:t>.</w:t>
      </w:r>
      <w:r w:rsidRPr="00032367">
        <w:rPr>
          <w:rStyle w:val="FootnoteReference"/>
          <w:rFonts w:cs="Times New Roman"/>
          <w:color w:val="000000" w:themeColor="text1"/>
        </w:rPr>
        <w:footnoteReference w:id="230"/>
      </w:r>
      <w:r w:rsidRPr="00032367">
        <w:rPr>
          <w:rFonts w:cs="Times New Roman"/>
          <w:color w:val="000000" w:themeColor="text1"/>
        </w:rPr>
        <w:t xml:space="preserve"> </w:t>
      </w:r>
      <w:r>
        <w:rPr>
          <w:rFonts w:cs="Times New Roman"/>
          <w:color w:val="000000" w:themeColor="text1"/>
        </w:rPr>
        <w:t xml:space="preserve">This type of scrutiny is a strong deterrent to potential material advisors since it comes with (1) increased compliance costs; (2) self-reporting that they know the IRS will review very carefully; and (3) the heightened </w:t>
      </w:r>
      <w:r>
        <w:rPr>
          <w:rFonts w:cs="Times New Roman"/>
          <w:color w:val="000000" w:themeColor="text1"/>
        </w:rPr>
        <w:lastRenderedPageBreak/>
        <w:t>potential that the IRS will litigate the material advisor’s transactions</w:t>
      </w:r>
      <w:r w:rsidRPr="00032367">
        <w:rPr>
          <w:rFonts w:cs="Times New Roman"/>
          <w:color w:val="000000" w:themeColor="text1"/>
        </w:rPr>
        <w:t>.</w:t>
      </w:r>
      <w:r w:rsidRPr="00032367">
        <w:rPr>
          <w:rStyle w:val="FootnoteReference"/>
          <w:rFonts w:cs="Times New Roman"/>
          <w:color w:val="000000" w:themeColor="text1"/>
        </w:rPr>
        <w:footnoteReference w:id="231"/>
      </w:r>
      <w:r w:rsidRPr="00032367">
        <w:rPr>
          <w:rFonts w:cs="Times New Roman"/>
          <w:color w:val="000000" w:themeColor="text1"/>
        </w:rPr>
        <w:t xml:space="preserve"> </w:t>
      </w:r>
      <w:r>
        <w:rPr>
          <w:rFonts w:cs="Times New Roman"/>
          <w:color w:val="000000" w:themeColor="text1"/>
        </w:rPr>
        <w:t>In addition to the scrutiny of material advisors, listed transaction status leads to additional scrutiny of the micro-captive participants. As discussed above, material advisors must produce a list to t</w:t>
      </w:r>
      <w:r w:rsidRPr="00032367">
        <w:rPr>
          <w:rFonts w:cs="Times New Roman"/>
          <w:color w:val="000000" w:themeColor="text1"/>
        </w:rPr>
        <w:t xml:space="preserve">he IRS </w:t>
      </w:r>
      <w:r>
        <w:rPr>
          <w:rFonts w:cs="Times New Roman"/>
          <w:color w:val="000000" w:themeColor="text1"/>
        </w:rPr>
        <w:t xml:space="preserve">of all participants in </w:t>
      </w:r>
      <w:r w:rsidRPr="00032367">
        <w:rPr>
          <w:rFonts w:cs="Times New Roman"/>
          <w:color w:val="000000" w:themeColor="text1"/>
        </w:rPr>
        <w:t>any micro-captive transactions</w:t>
      </w:r>
      <w:r>
        <w:rPr>
          <w:rFonts w:cs="Times New Roman"/>
          <w:color w:val="000000" w:themeColor="text1"/>
        </w:rPr>
        <w:t xml:space="preserve"> and provide certain information about the transaction</w:t>
      </w:r>
      <w:r w:rsidRPr="00032367">
        <w:rPr>
          <w:rFonts w:cs="Times New Roman"/>
          <w:color w:val="000000" w:themeColor="text1"/>
        </w:rPr>
        <w:t>.</w:t>
      </w:r>
      <w:r w:rsidRPr="00032367">
        <w:rPr>
          <w:rStyle w:val="FootnoteReference"/>
          <w:rFonts w:cs="Times New Roman"/>
          <w:color w:val="000000" w:themeColor="text1"/>
        </w:rPr>
        <w:footnoteReference w:id="232"/>
      </w:r>
      <w:r w:rsidRPr="00032367">
        <w:rPr>
          <w:rFonts w:cs="Times New Roman"/>
          <w:color w:val="000000" w:themeColor="text1"/>
        </w:rPr>
        <w:t xml:space="preserve"> </w:t>
      </w:r>
      <w:r>
        <w:rPr>
          <w:rFonts w:cs="Times New Roman"/>
          <w:color w:val="000000" w:themeColor="text1"/>
        </w:rPr>
        <w:t xml:space="preserve">The list must be maintained for </w:t>
      </w:r>
      <w:r w:rsidR="00375E05">
        <w:rPr>
          <w:rFonts w:cs="Times New Roman"/>
          <w:color w:val="000000" w:themeColor="text1"/>
        </w:rPr>
        <w:t>seven</w:t>
      </w:r>
      <w:r>
        <w:rPr>
          <w:rFonts w:cs="Times New Roman"/>
          <w:color w:val="000000" w:themeColor="text1"/>
        </w:rPr>
        <w:t xml:space="preserve"> years and s</w:t>
      </w:r>
      <w:r w:rsidRPr="00032367">
        <w:rPr>
          <w:rFonts w:cs="Times New Roman"/>
          <w:color w:val="000000" w:themeColor="text1"/>
        </w:rPr>
        <w:t xml:space="preserve">ome of this information may include </w:t>
      </w:r>
      <w:r>
        <w:rPr>
          <w:rFonts w:cs="Times New Roman"/>
          <w:color w:val="000000" w:themeColor="text1"/>
        </w:rPr>
        <w:t xml:space="preserve">(1) </w:t>
      </w:r>
      <w:r w:rsidRPr="00032367">
        <w:rPr>
          <w:rFonts w:cs="Times New Roman"/>
          <w:color w:val="000000" w:themeColor="text1"/>
        </w:rPr>
        <w:t>identifying and describing the transaction</w:t>
      </w:r>
      <w:r>
        <w:rPr>
          <w:rFonts w:cs="Times New Roman"/>
          <w:color w:val="000000" w:themeColor="text1"/>
        </w:rPr>
        <w:t>;</w:t>
      </w:r>
      <w:r w:rsidRPr="00032367">
        <w:rPr>
          <w:rFonts w:cs="Times New Roman"/>
          <w:color w:val="000000" w:themeColor="text1"/>
        </w:rPr>
        <w:t xml:space="preserve"> </w:t>
      </w:r>
      <w:r>
        <w:rPr>
          <w:rFonts w:cs="Times New Roman"/>
          <w:color w:val="000000" w:themeColor="text1"/>
        </w:rPr>
        <w:t xml:space="preserve">(2) </w:t>
      </w:r>
      <w:r w:rsidRPr="00032367">
        <w:rPr>
          <w:rFonts w:cs="Times New Roman"/>
          <w:color w:val="000000" w:themeColor="text1"/>
        </w:rPr>
        <w:t>the tax benefits from the transaction</w:t>
      </w:r>
      <w:r>
        <w:rPr>
          <w:rFonts w:cs="Times New Roman"/>
          <w:color w:val="000000" w:themeColor="text1"/>
        </w:rPr>
        <w:t>;</w:t>
      </w:r>
      <w:r w:rsidRPr="00032367">
        <w:rPr>
          <w:rStyle w:val="FootnoteReference"/>
          <w:rFonts w:cs="Times New Roman"/>
          <w:color w:val="000000" w:themeColor="text1"/>
        </w:rPr>
        <w:footnoteReference w:id="233"/>
      </w:r>
      <w:r w:rsidRPr="00032367">
        <w:rPr>
          <w:rFonts w:cs="Times New Roman"/>
          <w:color w:val="000000" w:themeColor="text1"/>
        </w:rPr>
        <w:t xml:space="preserve"> </w:t>
      </w:r>
      <w:r>
        <w:rPr>
          <w:rFonts w:cs="Times New Roman"/>
          <w:color w:val="000000" w:themeColor="text1"/>
        </w:rPr>
        <w:t>and (3)</w:t>
      </w:r>
      <w:r w:rsidRPr="00032367">
        <w:rPr>
          <w:rFonts w:cs="Times New Roman"/>
          <w:color w:val="000000" w:themeColor="text1"/>
        </w:rPr>
        <w:t xml:space="preserve"> who the material advisor aided.</w:t>
      </w:r>
      <w:r w:rsidRPr="00032367">
        <w:rPr>
          <w:rStyle w:val="FootnoteReference"/>
          <w:rFonts w:cs="Times New Roman"/>
          <w:color w:val="000000" w:themeColor="text1"/>
        </w:rPr>
        <w:footnoteReference w:id="234"/>
      </w:r>
      <w:r w:rsidRPr="00032367">
        <w:rPr>
          <w:rFonts w:cs="Times New Roman"/>
          <w:color w:val="000000" w:themeColor="text1"/>
        </w:rPr>
        <w:t xml:space="preserve"> As discussed above, material advisors </w:t>
      </w:r>
      <w:r>
        <w:rPr>
          <w:rFonts w:cs="Times New Roman"/>
          <w:color w:val="000000" w:themeColor="text1"/>
        </w:rPr>
        <w:t>must</w:t>
      </w:r>
      <w:r w:rsidRPr="00032367">
        <w:rPr>
          <w:rFonts w:cs="Times New Roman"/>
          <w:color w:val="000000" w:themeColor="text1"/>
        </w:rPr>
        <w:t xml:space="preserve"> provide accurate information to avoid any accuracy-related penalties.</w:t>
      </w:r>
      <w:r w:rsidRPr="00032367">
        <w:rPr>
          <w:rStyle w:val="FootnoteReference"/>
          <w:rFonts w:cs="Times New Roman"/>
          <w:color w:val="000000" w:themeColor="text1"/>
        </w:rPr>
        <w:footnoteReference w:id="235"/>
      </w:r>
      <w:r w:rsidRPr="00032367">
        <w:rPr>
          <w:rFonts w:cs="Times New Roman"/>
          <w:color w:val="000000" w:themeColor="text1"/>
        </w:rPr>
        <w:t xml:space="preserve"> </w:t>
      </w:r>
      <w:r>
        <w:rPr>
          <w:rFonts w:cs="Times New Roman"/>
          <w:color w:val="000000" w:themeColor="text1"/>
        </w:rPr>
        <w:t xml:space="preserve">Thus, the IRS will be provided with everything </w:t>
      </w:r>
      <w:r w:rsidR="003913E2">
        <w:rPr>
          <w:rFonts w:cs="Times New Roman"/>
          <w:color w:val="000000" w:themeColor="text1"/>
        </w:rPr>
        <w:t>it</w:t>
      </w:r>
      <w:r>
        <w:rPr>
          <w:rFonts w:cs="Times New Roman"/>
          <w:color w:val="000000" w:themeColor="text1"/>
        </w:rPr>
        <w:t xml:space="preserve"> need</w:t>
      </w:r>
      <w:r w:rsidR="003913E2">
        <w:rPr>
          <w:rFonts w:cs="Times New Roman"/>
          <w:color w:val="000000" w:themeColor="text1"/>
        </w:rPr>
        <w:t>s</w:t>
      </w:r>
      <w:r>
        <w:rPr>
          <w:rFonts w:cs="Times New Roman"/>
          <w:color w:val="000000" w:themeColor="text1"/>
        </w:rPr>
        <w:t xml:space="preserve"> to know to launch audits and litigation upon micro-captive participants. </w:t>
      </w:r>
      <w:r w:rsidRPr="00032367">
        <w:rPr>
          <w:rFonts w:cs="Times New Roman"/>
          <w:color w:val="000000" w:themeColor="text1"/>
        </w:rPr>
        <w:t xml:space="preserve">The risk is too significant for </w:t>
      </w:r>
      <w:r>
        <w:rPr>
          <w:rFonts w:cs="Times New Roman"/>
          <w:color w:val="000000" w:themeColor="text1"/>
        </w:rPr>
        <w:t>most</w:t>
      </w:r>
      <w:r w:rsidRPr="00032367">
        <w:rPr>
          <w:rFonts w:cs="Times New Roman"/>
          <w:color w:val="000000" w:themeColor="text1"/>
        </w:rPr>
        <w:t xml:space="preserve"> reasonable </w:t>
      </w:r>
      <w:r>
        <w:rPr>
          <w:rFonts w:cs="Times New Roman"/>
          <w:color w:val="000000" w:themeColor="text1"/>
        </w:rPr>
        <w:t>taxpayers</w:t>
      </w:r>
      <w:r w:rsidRPr="00032367">
        <w:rPr>
          <w:rFonts w:cs="Times New Roman"/>
          <w:color w:val="000000" w:themeColor="text1"/>
        </w:rPr>
        <w:t xml:space="preserve"> to </w:t>
      </w:r>
      <w:r>
        <w:rPr>
          <w:rFonts w:cs="Times New Roman"/>
          <w:color w:val="000000" w:themeColor="text1"/>
        </w:rPr>
        <w:t>believe that the potential tax savings are worth the IRS compliance risk. Aggressive m</w:t>
      </w:r>
      <w:r w:rsidRPr="00032367">
        <w:rPr>
          <w:rFonts w:cs="Times New Roman"/>
          <w:color w:val="000000" w:themeColor="text1"/>
        </w:rPr>
        <w:t>icro-captive transactions will no longer be desirable because</w:t>
      </w:r>
      <w:r w:rsidRPr="00032367">
        <w:rPr>
          <w:color w:val="000000" w:themeColor="text1"/>
        </w:rPr>
        <w:t xml:space="preserve"> </w:t>
      </w:r>
      <w:r w:rsidRPr="00032367">
        <w:rPr>
          <w:rFonts w:cs="Times New Roman"/>
          <w:color w:val="000000" w:themeColor="text1"/>
        </w:rPr>
        <w:t>“[w]hen the IRS announces that a tax strategy is a listed transaction or transaction of interest, market demand for that strategy among taxpayers typically ceases.”</w:t>
      </w:r>
      <w:r w:rsidRPr="00032367">
        <w:rPr>
          <w:rStyle w:val="FootnoteReference"/>
          <w:rFonts w:cs="Times New Roman"/>
          <w:color w:val="000000" w:themeColor="text1"/>
        </w:rPr>
        <w:footnoteReference w:id="236"/>
      </w:r>
    </w:p>
    <w:p w14:paraId="25DDBF22" w14:textId="5A5660AC" w:rsidR="005B517A" w:rsidRPr="00B807FC" w:rsidRDefault="005B517A" w:rsidP="00CC2D68">
      <w:pPr>
        <w:pStyle w:val="Heading2"/>
      </w:pPr>
      <w:bookmarkStart w:id="33" w:name="_Toc158623016"/>
      <w:r w:rsidRPr="00B807FC">
        <w:t xml:space="preserve">A Potential </w:t>
      </w:r>
      <w:r w:rsidRPr="00357836">
        <w:rPr>
          <w:i w:val="0"/>
        </w:rPr>
        <w:t>CIC Service</w:t>
      </w:r>
      <w:r w:rsidR="001B6574" w:rsidRPr="00357836">
        <w:rPr>
          <w:i w:val="0"/>
        </w:rPr>
        <w:t>s</w:t>
      </w:r>
      <w:r w:rsidRPr="00B807FC">
        <w:t xml:space="preserve"> Challenge to the New </w:t>
      </w:r>
      <w:r w:rsidRPr="00CC2D68">
        <w:t>Proposed</w:t>
      </w:r>
      <w:r w:rsidRPr="00B807FC">
        <w:t xml:space="preserve"> Regulations</w:t>
      </w:r>
      <w:bookmarkEnd w:id="33"/>
    </w:p>
    <w:p w14:paraId="46FA5065" w14:textId="715923C1" w:rsidR="005B517A" w:rsidRPr="00032367" w:rsidRDefault="005B517A" w:rsidP="00F575C3">
      <w:pPr>
        <w:rPr>
          <w:rFonts w:cs="Times New Roman"/>
          <w:color w:val="000000" w:themeColor="text1"/>
        </w:rPr>
      </w:pPr>
      <w:r>
        <w:rPr>
          <w:rFonts w:cs="Times New Roman"/>
          <w:color w:val="000000" w:themeColor="text1"/>
        </w:rPr>
        <w:t xml:space="preserve">The IRS sought to resolve its loss in </w:t>
      </w:r>
      <w:r w:rsidRPr="008D2DA7">
        <w:rPr>
          <w:rFonts w:cs="Times New Roman"/>
          <w:i/>
          <w:iCs/>
          <w:color w:val="000000" w:themeColor="text1"/>
        </w:rPr>
        <w:t>CIC Services</w:t>
      </w:r>
      <w:r>
        <w:rPr>
          <w:rFonts w:cs="Times New Roman"/>
          <w:color w:val="000000" w:themeColor="text1"/>
        </w:rPr>
        <w:t xml:space="preserve"> by issuing the Proposed Regulations. </w:t>
      </w:r>
      <w:r w:rsidRPr="00032367">
        <w:rPr>
          <w:rFonts w:cs="Times New Roman"/>
          <w:color w:val="000000" w:themeColor="text1"/>
        </w:rPr>
        <w:t xml:space="preserve">As taxpayers were quick to challenge Notice 2016-66, </w:t>
      </w:r>
      <w:r>
        <w:rPr>
          <w:rFonts w:cs="Times New Roman"/>
          <w:color w:val="000000" w:themeColor="text1"/>
        </w:rPr>
        <w:t xml:space="preserve">there may be court </w:t>
      </w:r>
      <w:r w:rsidRPr="00032367">
        <w:rPr>
          <w:rFonts w:cs="Times New Roman"/>
          <w:color w:val="000000" w:themeColor="text1"/>
        </w:rPr>
        <w:t xml:space="preserve">challenges </w:t>
      </w:r>
      <w:r>
        <w:rPr>
          <w:rFonts w:cs="Times New Roman"/>
          <w:color w:val="000000" w:themeColor="text1"/>
        </w:rPr>
        <w:t xml:space="preserve">to </w:t>
      </w:r>
      <w:r w:rsidRPr="00032367">
        <w:rPr>
          <w:rFonts w:cs="Times New Roman"/>
          <w:color w:val="000000" w:themeColor="text1"/>
        </w:rPr>
        <w:t>the Proposed Regulations.</w:t>
      </w:r>
      <w:r w:rsidR="001B6574" w:rsidRPr="00032367">
        <w:rPr>
          <w:rStyle w:val="FootnoteReference"/>
          <w:rFonts w:cs="Times New Roman"/>
          <w:color w:val="000000" w:themeColor="text1"/>
        </w:rPr>
        <w:footnoteReference w:id="237"/>
      </w:r>
      <w:r w:rsidRPr="00032367">
        <w:rPr>
          <w:rFonts w:cs="Times New Roman"/>
          <w:color w:val="000000" w:themeColor="text1"/>
        </w:rPr>
        <w:t xml:space="preserve"> The two challenges taxpayers brought </w:t>
      </w:r>
      <w:r>
        <w:rPr>
          <w:rFonts w:cs="Times New Roman"/>
          <w:color w:val="000000" w:themeColor="text1"/>
        </w:rPr>
        <w:t>in</w:t>
      </w:r>
      <w:r w:rsidRPr="00032367">
        <w:rPr>
          <w:rFonts w:cs="Times New Roman"/>
          <w:color w:val="000000" w:themeColor="text1"/>
        </w:rPr>
        <w:t xml:space="preserve"> </w:t>
      </w:r>
      <w:r w:rsidRPr="00032367">
        <w:rPr>
          <w:rFonts w:cs="Times New Roman"/>
          <w:i/>
          <w:iCs/>
          <w:color w:val="000000" w:themeColor="text1"/>
        </w:rPr>
        <w:t xml:space="preserve">CIC </w:t>
      </w:r>
      <w:r w:rsidRPr="008D2DA7">
        <w:rPr>
          <w:rFonts w:cs="Times New Roman"/>
          <w:i/>
          <w:iCs/>
          <w:color w:val="000000" w:themeColor="text1"/>
        </w:rPr>
        <w:t>Services</w:t>
      </w:r>
      <w:r w:rsidRPr="00032367">
        <w:rPr>
          <w:rFonts w:cs="Times New Roman"/>
          <w:color w:val="000000" w:themeColor="text1"/>
        </w:rPr>
        <w:t xml:space="preserve"> were the failure to follow the notice-and-comment procedures under the APA and the issuance of a guidance done arbitrarily and capriciously.</w:t>
      </w:r>
      <w:r w:rsidRPr="00032367">
        <w:rPr>
          <w:rStyle w:val="FootnoteReference"/>
          <w:rFonts w:cs="Times New Roman"/>
          <w:color w:val="000000" w:themeColor="text1"/>
        </w:rPr>
        <w:footnoteReference w:id="238"/>
      </w:r>
      <w:r w:rsidRPr="00032367">
        <w:rPr>
          <w:rFonts w:cs="Times New Roman"/>
          <w:color w:val="000000" w:themeColor="text1"/>
        </w:rPr>
        <w:t xml:space="preserve"> Reviewing the case of </w:t>
      </w:r>
      <w:r w:rsidRPr="00032367">
        <w:rPr>
          <w:rFonts w:cs="Times New Roman"/>
          <w:i/>
          <w:iCs/>
          <w:color w:val="000000" w:themeColor="text1"/>
        </w:rPr>
        <w:t>CIC Services</w:t>
      </w:r>
      <w:r w:rsidRPr="00032367">
        <w:rPr>
          <w:rFonts w:cs="Times New Roman"/>
          <w:color w:val="000000" w:themeColor="text1"/>
        </w:rPr>
        <w:t>, one may see how the IRS’</w:t>
      </w:r>
      <w:r w:rsidR="00375E05">
        <w:rPr>
          <w:rFonts w:cs="Times New Roman"/>
          <w:color w:val="000000" w:themeColor="text1"/>
        </w:rPr>
        <w:t>s</w:t>
      </w:r>
      <w:r w:rsidRPr="00032367">
        <w:rPr>
          <w:rFonts w:cs="Times New Roman"/>
          <w:color w:val="000000" w:themeColor="text1"/>
        </w:rPr>
        <w:t xml:space="preserve"> </w:t>
      </w:r>
      <w:r>
        <w:rPr>
          <w:rFonts w:cs="Times New Roman"/>
          <w:color w:val="000000" w:themeColor="text1"/>
        </w:rPr>
        <w:t>P</w:t>
      </w:r>
      <w:r w:rsidRPr="00032367">
        <w:rPr>
          <w:rFonts w:cs="Times New Roman"/>
          <w:color w:val="000000" w:themeColor="text1"/>
        </w:rPr>
        <w:t xml:space="preserve">roposed </w:t>
      </w:r>
      <w:r>
        <w:rPr>
          <w:rFonts w:cs="Times New Roman"/>
          <w:color w:val="000000" w:themeColor="text1"/>
        </w:rPr>
        <w:t>R</w:t>
      </w:r>
      <w:r w:rsidRPr="00032367">
        <w:rPr>
          <w:rFonts w:cs="Times New Roman"/>
          <w:color w:val="000000" w:themeColor="text1"/>
        </w:rPr>
        <w:t>egulations would stack up against these two potential challenges.</w:t>
      </w:r>
    </w:p>
    <w:p w14:paraId="0BEB12C1" w14:textId="7BE2E06E" w:rsidR="005B517A" w:rsidRPr="00032367" w:rsidRDefault="005B517A" w:rsidP="00357836">
      <w:pPr>
        <w:rPr>
          <w:rFonts w:cs="Times New Roman"/>
          <w:color w:val="000000" w:themeColor="text1"/>
        </w:rPr>
      </w:pPr>
      <w:r w:rsidRPr="00032367">
        <w:rPr>
          <w:rFonts w:cs="Times New Roman"/>
          <w:color w:val="000000" w:themeColor="text1"/>
        </w:rPr>
        <w:t xml:space="preserve">The notice-and-comment procedure under </w:t>
      </w:r>
      <w:r>
        <w:rPr>
          <w:rFonts w:cs="Times New Roman"/>
          <w:color w:val="000000" w:themeColor="text1"/>
        </w:rPr>
        <w:t xml:space="preserve">the </w:t>
      </w:r>
      <w:r w:rsidRPr="00032367">
        <w:rPr>
          <w:rFonts w:cs="Times New Roman"/>
          <w:color w:val="000000" w:themeColor="text1"/>
        </w:rPr>
        <w:t xml:space="preserve">APA will likely not be an issue for the IRS. The IRS has </w:t>
      </w:r>
      <w:r>
        <w:rPr>
          <w:rFonts w:cs="Times New Roman"/>
          <w:color w:val="000000" w:themeColor="text1"/>
        </w:rPr>
        <w:t xml:space="preserve">complied with the APA by having a </w:t>
      </w:r>
      <w:r w:rsidRPr="00032367">
        <w:rPr>
          <w:rFonts w:cs="Times New Roman"/>
          <w:color w:val="000000" w:themeColor="text1"/>
        </w:rPr>
        <w:t xml:space="preserve">notice </w:t>
      </w:r>
      <w:r>
        <w:rPr>
          <w:rFonts w:cs="Times New Roman"/>
          <w:color w:val="000000" w:themeColor="text1"/>
        </w:rPr>
        <w:t>period in the P</w:t>
      </w:r>
      <w:r w:rsidRPr="00032367">
        <w:rPr>
          <w:rFonts w:cs="Times New Roman"/>
          <w:color w:val="000000" w:themeColor="text1"/>
        </w:rPr>
        <w:t xml:space="preserve">roposed </w:t>
      </w:r>
      <w:r>
        <w:rPr>
          <w:rFonts w:cs="Times New Roman"/>
          <w:color w:val="000000" w:themeColor="text1"/>
        </w:rPr>
        <w:t>R</w:t>
      </w:r>
      <w:r w:rsidRPr="00032367">
        <w:rPr>
          <w:rFonts w:cs="Times New Roman"/>
          <w:color w:val="000000" w:themeColor="text1"/>
        </w:rPr>
        <w:t>egulations</w:t>
      </w:r>
      <w:r>
        <w:rPr>
          <w:rFonts w:cs="Times New Roman"/>
          <w:color w:val="000000" w:themeColor="text1"/>
        </w:rPr>
        <w:t>,</w:t>
      </w:r>
      <w:r w:rsidRPr="00032367">
        <w:rPr>
          <w:rStyle w:val="FootnoteReference"/>
          <w:rFonts w:cs="Times New Roman"/>
          <w:color w:val="000000" w:themeColor="text1"/>
        </w:rPr>
        <w:footnoteReference w:id="239"/>
      </w:r>
      <w:r w:rsidRPr="00032367">
        <w:rPr>
          <w:rFonts w:cs="Times New Roman"/>
          <w:color w:val="000000" w:themeColor="text1"/>
        </w:rPr>
        <w:t xml:space="preserve"> </w:t>
      </w:r>
      <w:r>
        <w:rPr>
          <w:rFonts w:cs="Times New Roman"/>
          <w:color w:val="000000" w:themeColor="text1"/>
        </w:rPr>
        <w:t xml:space="preserve">stating that </w:t>
      </w:r>
      <w:r w:rsidRPr="00032367">
        <w:rPr>
          <w:rFonts w:cs="Times New Roman"/>
          <w:color w:val="000000" w:themeColor="text1"/>
        </w:rPr>
        <w:t xml:space="preserve">the IRS will have a public hearing for comments on July 19, 2023, at 10:00 a.m. through </w:t>
      </w:r>
      <w:r w:rsidRPr="00032367">
        <w:rPr>
          <w:rFonts w:cs="Times New Roman"/>
          <w:color w:val="000000" w:themeColor="text1"/>
        </w:rPr>
        <w:lastRenderedPageBreak/>
        <w:t>teleconference.</w:t>
      </w:r>
      <w:r w:rsidRPr="00032367">
        <w:rPr>
          <w:rStyle w:val="FootnoteReference"/>
          <w:rFonts w:cs="Times New Roman"/>
          <w:color w:val="000000" w:themeColor="text1"/>
        </w:rPr>
        <w:footnoteReference w:id="240"/>
      </w:r>
      <w:r w:rsidRPr="00032367">
        <w:rPr>
          <w:rFonts w:cs="Times New Roman"/>
          <w:color w:val="000000" w:themeColor="text1"/>
        </w:rPr>
        <w:t xml:space="preserve"> Further, individuals may submit written comments electronically.</w:t>
      </w:r>
      <w:r w:rsidRPr="00032367">
        <w:rPr>
          <w:rStyle w:val="FootnoteReference"/>
          <w:rFonts w:cs="Times New Roman"/>
          <w:color w:val="000000" w:themeColor="text1"/>
        </w:rPr>
        <w:footnoteReference w:id="241"/>
      </w:r>
      <w:r w:rsidRPr="00032367">
        <w:rPr>
          <w:rFonts w:cs="Times New Roman"/>
          <w:color w:val="000000" w:themeColor="text1"/>
        </w:rPr>
        <w:t xml:space="preserve"> Therefore, the IRS likely </w:t>
      </w:r>
      <w:r>
        <w:rPr>
          <w:rFonts w:cs="Times New Roman"/>
          <w:color w:val="000000" w:themeColor="text1"/>
        </w:rPr>
        <w:t xml:space="preserve">has properly complied with the </w:t>
      </w:r>
      <w:r w:rsidRPr="00032367">
        <w:rPr>
          <w:rFonts w:cs="Times New Roman"/>
          <w:color w:val="000000" w:themeColor="text1"/>
        </w:rPr>
        <w:t>APA’s notice-and-comment procedure, as the IRS has given notice.</w:t>
      </w:r>
    </w:p>
    <w:p w14:paraId="543B2458" w14:textId="31E41C55" w:rsidR="005B517A" w:rsidRDefault="005B517A" w:rsidP="00357836">
      <w:pPr>
        <w:rPr>
          <w:rFonts w:cs="Times New Roman"/>
          <w:color w:val="000000" w:themeColor="text1"/>
        </w:rPr>
      </w:pPr>
      <w:r w:rsidRPr="00032367">
        <w:rPr>
          <w:rFonts w:cs="Times New Roman"/>
          <w:color w:val="000000" w:themeColor="text1"/>
        </w:rPr>
        <w:t xml:space="preserve">Taxpayers could also challenge the </w:t>
      </w:r>
      <w:r>
        <w:rPr>
          <w:rFonts w:cs="Times New Roman"/>
          <w:color w:val="000000" w:themeColor="text1"/>
        </w:rPr>
        <w:t>P</w:t>
      </w:r>
      <w:r w:rsidRPr="00032367">
        <w:rPr>
          <w:rFonts w:cs="Times New Roman"/>
          <w:color w:val="000000" w:themeColor="text1"/>
        </w:rPr>
        <w:t xml:space="preserve">roposed </w:t>
      </w:r>
      <w:r>
        <w:rPr>
          <w:rFonts w:cs="Times New Roman"/>
          <w:color w:val="000000" w:themeColor="text1"/>
        </w:rPr>
        <w:t>R</w:t>
      </w:r>
      <w:r w:rsidRPr="00032367">
        <w:rPr>
          <w:rFonts w:cs="Times New Roman"/>
          <w:color w:val="000000" w:themeColor="text1"/>
        </w:rPr>
        <w:t xml:space="preserve">egulations as being arbitrary and capricious. This time, however, the IRS has prepared for arbitrary or capricious challenges </w:t>
      </w:r>
      <w:r>
        <w:rPr>
          <w:rFonts w:cs="Times New Roman"/>
          <w:color w:val="000000" w:themeColor="text1"/>
        </w:rPr>
        <w:t xml:space="preserve">by describing how </w:t>
      </w:r>
      <w:r w:rsidR="003913E2">
        <w:rPr>
          <w:rFonts w:cs="Times New Roman"/>
          <w:color w:val="000000" w:themeColor="text1"/>
        </w:rPr>
        <w:t>it</w:t>
      </w:r>
      <w:r>
        <w:rPr>
          <w:rFonts w:cs="Times New Roman"/>
          <w:color w:val="000000" w:themeColor="text1"/>
        </w:rPr>
        <w:t xml:space="preserve"> arrived at the provisions in the Proposed Regulations (unlike what was contained in </w:t>
      </w:r>
      <w:r w:rsidRPr="00032367">
        <w:rPr>
          <w:rFonts w:cs="Times New Roman"/>
          <w:color w:val="000000" w:themeColor="text1"/>
        </w:rPr>
        <w:t>Notice 2016-66</w:t>
      </w:r>
      <w:r>
        <w:rPr>
          <w:rFonts w:cs="Times New Roman"/>
          <w:color w:val="000000" w:themeColor="text1"/>
        </w:rPr>
        <w:t>)</w:t>
      </w:r>
      <w:r w:rsidRPr="00032367">
        <w:rPr>
          <w:rFonts w:cs="Times New Roman"/>
          <w:color w:val="000000" w:themeColor="text1"/>
        </w:rPr>
        <w:t>.</w:t>
      </w:r>
      <w:r w:rsidRPr="00032367">
        <w:rPr>
          <w:rStyle w:val="FootnoteReference"/>
          <w:rFonts w:cs="Times New Roman"/>
          <w:color w:val="000000" w:themeColor="text1"/>
        </w:rPr>
        <w:footnoteReference w:id="242"/>
      </w:r>
      <w:r w:rsidRPr="00032367">
        <w:rPr>
          <w:rFonts w:cs="Times New Roman"/>
          <w:color w:val="000000" w:themeColor="text1"/>
        </w:rPr>
        <w:t xml:space="preserve"> For example, when discussing how the IRS arrived at its original 70% for the loss ratio factor in Notice 2016-66, the IRS noted its basis for this number by looking at</w:t>
      </w:r>
      <w:r>
        <w:rPr>
          <w:rFonts w:cs="Times New Roman"/>
          <w:color w:val="000000" w:themeColor="text1"/>
        </w:rPr>
        <w:t xml:space="preserve"> IRC</w:t>
      </w:r>
      <w:r w:rsidRPr="00032367">
        <w:rPr>
          <w:rFonts w:cs="Times New Roman"/>
          <w:color w:val="000000" w:themeColor="text1"/>
        </w:rPr>
        <w:t xml:space="preserve"> § 833(c)(5) for Blue Cross and Blue Shield organizations.</w:t>
      </w:r>
      <w:r w:rsidRPr="00032367">
        <w:rPr>
          <w:rStyle w:val="FootnoteReference"/>
          <w:rFonts w:cs="Times New Roman"/>
          <w:color w:val="000000" w:themeColor="text1"/>
        </w:rPr>
        <w:footnoteReference w:id="243"/>
      </w:r>
      <w:r w:rsidRPr="00032367">
        <w:rPr>
          <w:rFonts w:cs="Times New Roman"/>
          <w:color w:val="000000" w:themeColor="text1"/>
        </w:rPr>
        <w:t xml:space="preserve"> Congress enacted an 85% medical loss ratio test in</w:t>
      </w:r>
      <w:r w:rsidR="001B6574">
        <w:rPr>
          <w:rFonts w:cs="Times New Roman"/>
          <w:color w:val="000000" w:themeColor="text1"/>
        </w:rPr>
        <w:t xml:space="preserve">                    </w:t>
      </w:r>
      <w:r w:rsidRPr="00032367">
        <w:rPr>
          <w:color w:val="000000" w:themeColor="text1"/>
        </w:rPr>
        <w:t xml:space="preserve"> </w:t>
      </w:r>
      <w:r w:rsidRPr="00032367">
        <w:rPr>
          <w:rFonts w:cs="Times New Roman"/>
          <w:color w:val="000000" w:themeColor="text1"/>
        </w:rPr>
        <w:t>§ 833(c)(5).</w:t>
      </w:r>
      <w:r w:rsidRPr="00032367">
        <w:rPr>
          <w:rStyle w:val="FootnoteReference"/>
          <w:rFonts w:cs="Times New Roman"/>
          <w:color w:val="000000" w:themeColor="text1"/>
        </w:rPr>
        <w:footnoteReference w:id="244"/>
      </w:r>
      <w:r w:rsidRPr="00032367">
        <w:rPr>
          <w:rFonts w:cs="Times New Roman"/>
          <w:color w:val="000000" w:themeColor="text1"/>
        </w:rPr>
        <w:t xml:space="preserve"> The IRS and Treasury Department also “considered data from the National Association of Insurance Commissioners (“NAIC”) in determining the applicable loss ratio factor.”</w:t>
      </w:r>
      <w:r w:rsidRPr="00032367">
        <w:rPr>
          <w:rStyle w:val="FootnoteReference"/>
          <w:rFonts w:cs="Times New Roman"/>
          <w:color w:val="000000" w:themeColor="text1"/>
        </w:rPr>
        <w:footnoteReference w:id="245"/>
      </w:r>
      <w:r w:rsidRPr="00032367">
        <w:rPr>
          <w:rFonts w:cs="Times New Roman"/>
          <w:color w:val="000000" w:themeColor="text1"/>
        </w:rPr>
        <w:t xml:space="preserve"> </w:t>
      </w:r>
    </w:p>
    <w:p w14:paraId="7BEE2094" w14:textId="2BE1450C" w:rsidR="005B517A" w:rsidRPr="00032367" w:rsidRDefault="005B517A" w:rsidP="00357836">
      <w:pPr>
        <w:rPr>
          <w:rFonts w:cs="Times New Roman"/>
          <w:color w:val="000000" w:themeColor="text1"/>
        </w:rPr>
      </w:pPr>
      <w:r w:rsidRPr="00032367">
        <w:rPr>
          <w:rFonts w:cs="Times New Roman"/>
          <w:color w:val="000000" w:themeColor="text1"/>
        </w:rPr>
        <w:t xml:space="preserve">Further, in arriving </w:t>
      </w:r>
      <w:r>
        <w:rPr>
          <w:rFonts w:cs="Times New Roman"/>
          <w:color w:val="000000" w:themeColor="text1"/>
        </w:rPr>
        <w:t>at</w:t>
      </w:r>
      <w:r w:rsidRPr="00032367">
        <w:rPr>
          <w:rFonts w:cs="Times New Roman"/>
          <w:color w:val="000000" w:themeColor="text1"/>
        </w:rPr>
        <w:t xml:space="preserve"> the new 65% threshold in the Proposed Regulations, the IRS noted that </w:t>
      </w:r>
      <w:r w:rsidR="003913E2">
        <w:rPr>
          <w:rFonts w:cs="Times New Roman"/>
          <w:color w:val="000000" w:themeColor="text1"/>
        </w:rPr>
        <w:t>it</w:t>
      </w:r>
      <w:r w:rsidRPr="00032367">
        <w:rPr>
          <w:rFonts w:cs="Times New Roman"/>
          <w:color w:val="000000" w:themeColor="text1"/>
        </w:rPr>
        <w:t xml:space="preserve"> did not wrongfully penalize any non-abusive micro-captives at 70% and that 65% would help the IRS crack</w:t>
      </w:r>
      <w:r>
        <w:rPr>
          <w:rFonts w:cs="Times New Roman"/>
          <w:color w:val="000000" w:themeColor="text1"/>
        </w:rPr>
        <w:t xml:space="preserve"> </w:t>
      </w:r>
      <w:r w:rsidRPr="00032367">
        <w:rPr>
          <w:rFonts w:cs="Times New Roman"/>
          <w:color w:val="000000" w:themeColor="text1"/>
        </w:rPr>
        <w:t>down on abusive micro-captive</w:t>
      </w:r>
      <w:r>
        <w:rPr>
          <w:rFonts w:cs="Times New Roman"/>
          <w:color w:val="000000" w:themeColor="text1"/>
        </w:rPr>
        <w:t>s</w:t>
      </w:r>
      <w:r w:rsidRPr="00032367">
        <w:rPr>
          <w:rFonts w:cs="Times New Roman"/>
          <w:color w:val="000000" w:themeColor="text1"/>
        </w:rPr>
        <w:t xml:space="preserve"> while not requesting wrongful disclosures from non-abusive micro-captives.</w:t>
      </w:r>
      <w:r w:rsidRPr="00032367">
        <w:rPr>
          <w:rStyle w:val="FootnoteReference"/>
          <w:rFonts w:cs="Times New Roman"/>
          <w:color w:val="000000" w:themeColor="text1"/>
        </w:rPr>
        <w:footnoteReference w:id="246"/>
      </w:r>
      <w:r w:rsidRPr="00032367">
        <w:rPr>
          <w:rFonts w:cs="Times New Roman"/>
          <w:color w:val="000000" w:themeColor="text1"/>
        </w:rPr>
        <w:t xml:space="preserve"> Therefore, the 65% threshold would be better for the IRS and non-abusive micro-captives.</w:t>
      </w:r>
      <w:r w:rsidRPr="00032367">
        <w:rPr>
          <w:rStyle w:val="FootnoteReference"/>
          <w:rFonts w:cs="Times New Roman"/>
          <w:color w:val="000000" w:themeColor="text1"/>
        </w:rPr>
        <w:footnoteReference w:id="247"/>
      </w:r>
      <w:r w:rsidRPr="00032367">
        <w:rPr>
          <w:rFonts w:cs="Times New Roman"/>
          <w:color w:val="000000" w:themeColor="text1"/>
        </w:rPr>
        <w:t xml:space="preserve"> Ultimately, the IRS has, at a minimum, likely demonstrated that its choice of percentage under the Proposed Regulations was arrived at by using relevant data and not done so arbitrarily. </w:t>
      </w:r>
    </w:p>
    <w:p w14:paraId="7964BB15" w14:textId="77777777" w:rsidR="005B517A" w:rsidRPr="00032367" w:rsidRDefault="005B517A" w:rsidP="00357836">
      <w:pPr>
        <w:rPr>
          <w:rFonts w:cs="Times New Roman"/>
          <w:color w:val="000000" w:themeColor="text1"/>
        </w:rPr>
      </w:pPr>
      <w:r w:rsidRPr="00032367">
        <w:rPr>
          <w:rFonts w:cs="Times New Roman"/>
          <w:color w:val="000000" w:themeColor="text1"/>
        </w:rPr>
        <w:t xml:space="preserve"> The IRS also noted research regarding the costs for disclosure requirements under Form 8886 and a chart to display the safety of the micro-captive insurance economy.</w:t>
      </w:r>
      <w:r w:rsidRPr="00032367">
        <w:rPr>
          <w:rStyle w:val="FootnoteReference"/>
          <w:rFonts w:cs="Times New Roman"/>
          <w:color w:val="000000" w:themeColor="text1"/>
        </w:rPr>
        <w:footnoteReference w:id="248"/>
      </w:r>
      <w:r w:rsidRPr="00032367">
        <w:rPr>
          <w:rFonts w:cs="Times New Roman"/>
          <w:color w:val="000000" w:themeColor="text1"/>
        </w:rPr>
        <w:t xml:space="preserve"> The study regarding disclosures included the average time and money expended in filing Form 8886.</w:t>
      </w:r>
      <w:r w:rsidRPr="00032367">
        <w:rPr>
          <w:rStyle w:val="FootnoteReference"/>
          <w:rFonts w:cs="Times New Roman"/>
          <w:color w:val="000000" w:themeColor="text1"/>
        </w:rPr>
        <w:footnoteReference w:id="249"/>
      </w:r>
      <w:r w:rsidRPr="00032367">
        <w:rPr>
          <w:rFonts w:cs="Times New Roman"/>
          <w:color w:val="000000" w:themeColor="text1"/>
        </w:rPr>
        <w:t xml:space="preserve"> The IRS’s Research, Applied Analytics, and Statistics division went as far as to calculate the price for the disclosure requirements to demonstrate that it would not be burdensome or economically harmful.</w:t>
      </w:r>
      <w:r w:rsidRPr="00032367">
        <w:rPr>
          <w:rStyle w:val="FootnoteReference"/>
          <w:rFonts w:cs="Times New Roman"/>
          <w:color w:val="000000" w:themeColor="text1"/>
        </w:rPr>
        <w:footnoteReference w:id="250"/>
      </w:r>
      <w:r w:rsidRPr="00032367">
        <w:rPr>
          <w:rFonts w:cs="Times New Roman"/>
          <w:color w:val="000000" w:themeColor="text1"/>
        </w:rPr>
        <w:t xml:space="preserve"> Further, the IRS used a chart to illustrate how these </w:t>
      </w:r>
      <w:r>
        <w:rPr>
          <w:rFonts w:cs="Times New Roman"/>
          <w:color w:val="000000" w:themeColor="text1"/>
        </w:rPr>
        <w:t>P</w:t>
      </w:r>
      <w:r w:rsidRPr="00032367">
        <w:rPr>
          <w:rFonts w:cs="Times New Roman"/>
          <w:color w:val="000000" w:themeColor="text1"/>
        </w:rPr>
        <w:t xml:space="preserve">roposed </w:t>
      </w:r>
      <w:r>
        <w:rPr>
          <w:rFonts w:cs="Times New Roman"/>
          <w:color w:val="000000" w:themeColor="text1"/>
        </w:rPr>
        <w:t>R</w:t>
      </w:r>
      <w:r w:rsidRPr="00032367">
        <w:rPr>
          <w:rFonts w:cs="Times New Roman"/>
          <w:color w:val="000000" w:themeColor="text1"/>
        </w:rPr>
        <w:t>egulations would not tank the micro-captive transaction economy.</w:t>
      </w:r>
      <w:r w:rsidRPr="00032367">
        <w:rPr>
          <w:rStyle w:val="FootnoteReference"/>
          <w:rFonts w:cs="Times New Roman"/>
          <w:color w:val="000000" w:themeColor="text1"/>
        </w:rPr>
        <w:footnoteReference w:id="251"/>
      </w:r>
      <w:r w:rsidRPr="00032367">
        <w:rPr>
          <w:rFonts w:cs="Times New Roman"/>
          <w:color w:val="000000" w:themeColor="text1"/>
        </w:rPr>
        <w:t xml:space="preserve"> The IRS will likely use this research and data to </w:t>
      </w:r>
      <w:r w:rsidRPr="00032367">
        <w:rPr>
          <w:rFonts w:cs="Times New Roman"/>
          <w:color w:val="000000" w:themeColor="text1"/>
        </w:rPr>
        <w:lastRenderedPageBreak/>
        <w:t>prepare for arbitrary and capricious challenges by demonstrating that the IRS issued its new regulations with relevant data.</w:t>
      </w:r>
    </w:p>
    <w:p w14:paraId="2049B14F" w14:textId="44D13D42" w:rsidR="008C5B4A" w:rsidRPr="00032367" w:rsidRDefault="005B517A" w:rsidP="00357836">
      <w:pPr>
        <w:rPr>
          <w:rFonts w:cs="Times New Roman"/>
          <w:color w:val="000000" w:themeColor="text1"/>
        </w:rPr>
      </w:pPr>
      <w:r>
        <w:rPr>
          <w:rFonts w:cs="Times New Roman"/>
          <w:color w:val="000000" w:themeColor="text1"/>
        </w:rPr>
        <w:t>There currently does not appear</w:t>
      </w:r>
      <w:r w:rsidRPr="00032367">
        <w:rPr>
          <w:rFonts w:cs="Times New Roman"/>
          <w:color w:val="000000" w:themeColor="text1"/>
        </w:rPr>
        <w:t xml:space="preserve"> to be any calls for </w:t>
      </w:r>
      <w:r>
        <w:rPr>
          <w:rFonts w:cs="Times New Roman"/>
          <w:color w:val="000000" w:themeColor="text1"/>
        </w:rPr>
        <w:t xml:space="preserve">court </w:t>
      </w:r>
      <w:r w:rsidRPr="00032367">
        <w:rPr>
          <w:rFonts w:cs="Times New Roman"/>
          <w:color w:val="000000" w:themeColor="text1"/>
        </w:rPr>
        <w:t xml:space="preserve">challenges </w:t>
      </w:r>
      <w:r>
        <w:rPr>
          <w:rFonts w:cs="Times New Roman"/>
          <w:color w:val="000000" w:themeColor="text1"/>
        </w:rPr>
        <w:t xml:space="preserve">to the Proposed Regulations. However, should a </w:t>
      </w:r>
      <w:r w:rsidRPr="00763846">
        <w:rPr>
          <w:rFonts w:cs="Times New Roman"/>
          <w:i/>
          <w:iCs/>
          <w:color w:val="000000" w:themeColor="text1"/>
        </w:rPr>
        <w:t>CIC Services</w:t>
      </w:r>
      <w:r w:rsidR="003913E2">
        <w:rPr>
          <w:rFonts w:cs="Times New Roman"/>
          <w:color w:val="000000" w:themeColor="text1"/>
        </w:rPr>
        <w:t>-</w:t>
      </w:r>
      <w:r>
        <w:rPr>
          <w:rFonts w:cs="Times New Roman"/>
          <w:color w:val="000000" w:themeColor="text1"/>
        </w:rPr>
        <w:t xml:space="preserve">type challenge arise, </w:t>
      </w:r>
      <w:r w:rsidRPr="00032367">
        <w:rPr>
          <w:rFonts w:cs="Times New Roman"/>
          <w:color w:val="000000" w:themeColor="text1"/>
        </w:rPr>
        <w:t xml:space="preserve">the IRS would likely prevail on both </w:t>
      </w:r>
      <w:r>
        <w:rPr>
          <w:rFonts w:cs="Times New Roman"/>
          <w:color w:val="000000" w:themeColor="text1"/>
        </w:rPr>
        <w:t xml:space="preserve">of the </w:t>
      </w:r>
      <w:r w:rsidRPr="00032367">
        <w:rPr>
          <w:rFonts w:cs="Times New Roman"/>
          <w:color w:val="000000" w:themeColor="text1"/>
        </w:rPr>
        <w:t>challenges</w:t>
      </w:r>
      <w:r>
        <w:rPr>
          <w:rFonts w:cs="Times New Roman"/>
          <w:color w:val="000000" w:themeColor="text1"/>
        </w:rPr>
        <w:t>,</w:t>
      </w:r>
      <w:r w:rsidRPr="00032367">
        <w:rPr>
          <w:rFonts w:cs="Times New Roman"/>
          <w:color w:val="000000" w:themeColor="text1"/>
        </w:rPr>
        <w:t xml:space="preserve"> as the IRS has given notice and an actual basis for its decisions in its administrative record. Time will tell on what type of </w:t>
      </w:r>
      <w:r>
        <w:rPr>
          <w:rFonts w:cs="Times New Roman"/>
          <w:color w:val="000000" w:themeColor="text1"/>
        </w:rPr>
        <w:t xml:space="preserve">court </w:t>
      </w:r>
      <w:r w:rsidRPr="00032367">
        <w:rPr>
          <w:rFonts w:cs="Times New Roman"/>
          <w:color w:val="000000" w:themeColor="text1"/>
        </w:rPr>
        <w:t>challenges may ar</w:t>
      </w:r>
      <w:r>
        <w:rPr>
          <w:rFonts w:cs="Times New Roman"/>
          <w:color w:val="000000" w:themeColor="text1"/>
        </w:rPr>
        <w:t>ise (if any)</w:t>
      </w:r>
      <w:r w:rsidR="001B6574">
        <w:rPr>
          <w:rFonts w:cs="Times New Roman"/>
          <w:color w:val="000000" w:themeColor="text1"/>
        </w:rPr>
        <w:t>,</w:t>
      </w:r>
      <w:r>
        <w:rPr>
          <w:rFonts w:cs="Times New Roman"/>
          <w:color w:val="000000" w:themeColor="text1"/>
        </w:rPr>
        <w:t xml:space="preserve"> </w:t>
      </w:r>
      <w:r w:rsidRPr="00032367">
        <w:rPr>
          <w:rFonts w:cs="Times New Roman"/>
          <w:color w:val="000000" w:themeColor="text1"/>
        </w:rPr>
        <w:t>but</w:t>
      </w:r>
      <w:r w:rsidR="001B6574">
        <w:rPr>
          <w:rFonts w:cs="Times New Roman"/>
          <w:color w:val="000000" w:themeColor="text1"/>
        </w:rPr>
        <w:t>,</w:t>
      </w:r>
      <w:r w:rsidRPr="00032367">
        <w:rPr>
          <w:rFonts w:cs="Times New Roman"/>
          <w:color w:val="000000" w:themeColor="text1"/>
        </w:rPr>
        <w:t xml:space="preserve"> for now</w:t>
      </w:r>
      <w:r w:rsidR="001B6574">
        <w:rPr>
          <w:rFonts w:cs="Times New Roman"/>
          <w:color w:val="000000" w:themeColor="text1"/>
        </w:rPr>
        <w:t>,</w:t>
      </w:r>
      <w:r w:rsidRPr="00032367">
        <w:rPr>
          <w:rFonts w:cs="Times New Roman"/>
          <w:color w:val="000000" w:themeColor="text1"/>
        </w:rPr>
        <w:t xml:space="preserve"> the IRS </w:t>
      </w:r>
      <w:r>
        <w:rPr>
          <w:rFonts w:cs="Times New Roman"/>
          <w:color w:val="000000" w:themeColor="text1"/>
        </w:rPr>
        <w:t>is</w:t>
      </w:r>
      <w:r w:rsidRPr="00032367">
        <w:rPr>
          <w:rFonts w:cs="Times New Roman"/>
          <w:color w:val="000000" w:themeColor="text1"/>
        </w:rPr>
        <w:t xml:space="preserve"> likely safe from a </w:t>
      </w:r>
      <w:r w:rsidRPr="00032367">
        <w:rPr>
          <w:rFonts w:cs="Times New Roman"/>
          <w:i/>
          <w:iCs/>
          <w:color w:val="000000" w:themeColor="text1"/>
        </w:rPr>
        <w:t>CIC Services</w:t>
      </w:r>
      <w:r w:rsidRPr="00032367">
        <w:rPr>
          <w:rFonts w:cs="Times New Roman"/>
          <w:color w:val="000000" w:themeColor="text1"/>
        </w:rPr>
        <w:t>-type case.</w:t>
      </w:r>
    </w:p>
    <w:p w14:paraId="08C50018" w14:textId="77777777" w:rsidR="005B517A" w:rsidRPr="00C24479" w:rsidRDefault="005B517A" w:rsidP="00CC2D68">
      <w:pPr>
        <w:pStyle w:val="Heading1"/>
        <w:rPr>
          <w:smallCaps w:val="0"/>
        </w:rPr>
      </w:pPr>
      <w:bookmarkStart w:id="34" w:name="_Toc158623017"/>
      <w:r w:rsidRPr="00CC2D68">
        <w:t>Conclusion</w:t>
      </w:r>
      <w:bookmarkEnd w:id="34"/>
    </w:p>
    <w:p w14:paraId="4F43C742" w14:textId="1E47B479" w:rsidR="00692EB3" w:rsidRDefault="005B517A" w:rsidP="00F575C3">
      <w:r>
        <w:rPr>
          <w:rFonts w:cs="Times New Roman"/>
          <w:color w:val="000000" w:themeColor="text1"/>
        </w:rPr>
        <w:t>How the Proposed Regulations will ultimately affect the micro-captive industry is yet to be fully seen. Certain commentators have already expressed that they do not favor the Proposed Regulations changes to the micro-captive industry.</w:t>
      </w:r>
      <w:r>
        <w:rPr>
          <w:rStyle w:val="FootnoteReference"/>
          <w:rFonts w:cs="Times New Roman"/>
          <w:color w:val="000000" w:themeColor="text1"/>
        </w:rPr>
        <w:footnoteReference w:id="252"/>
      </w:r>
      <w:r>
        <w:rPr>
          <w:rFonts w:cs="Times New Roman"/>
          <w:color w:val="000000" w:themeColor="text1"/>
        </w:rPr>
        <w:t xml:space="preserve"> The IRS will hear comments during the notice-and-comment procedure for the Proposed Regulations, and many will be eager to see whether the IRS takes account of these comments in the final regulations. Yet, the IRS has set its sights on stopping abusive micro-captives</w:t>
      </w:r>
      <w:r w:rsidR="001B6574">
        <w:rPr>
          <w:rFonts w:cs="Times New Roman"/>
          <w:color w:val="000000" w:themeColor="text1"/>
        </w:rPr>
        <w:t>,</w:t>
      </w:r>
      <w:r>
        <w:rPr>
          <w:rFonts w:cs="Times New Roman"/>
          <w:color w:val="000000" w:themeColor="text1"/>
        </w:rPr>
        <w:t xml:space="preserve"> and the Proposed Regulations are a great deterrent to material advisors and potential participants to entering</w:t>
      </w:r>
      <w:r w:rsidR="00375E05">
        <w:rPr>
          <w:rFonts w:cs="Times New Roman"/>
          <w:color w:val="000000" w:themeColor="text1"/>
        </w:rPr>
        <w:t xml:space="preserve"> </w:t>
      </w:r>
      <w:r>
        <w:rPr>
          <w:rFonts w:cs="Times New Roman"/>
          <w:color w:val="000000" w:themeColor="text1"/>
        </w:rPr>
        <w:t>aggressive micro-captive transactions.</w:t>
      </w:r>
    </w:p>
    <w:sectPr w:rsidR="00692EB3" w:rsidSect="009921F4">
      <w:headerReference w:type="even" r:id="rId11"/>
      <w:headerReference w:type="default" r:id="rId12"/>
      <w:footerReference w:type="even" r:id="rId13"/>
      <w:footerReference w:type="default" r:id="rId14"/>
      <w:headerReference w:type="first" r:id="rId15"/>
      <w:footerReference w:type="first" r:id="rId16"/>
      <w:pgSz w:w="12240" w:h="15840" w:code="1"/>
      <w:pgMar w:top="2520" w:right="2880" w:bottom="2520" w:left="2880" w:header="2520" w:footer="2160" w:gutter="0"/>
      <w:pgNumType w:start="3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61A0" w14:textId="77777777" w:rsidR="009921F4" w:rsidRDefault="009921F4" w:rsidP="005B517A">
      <w:r>
        <w:separator/>
      </w:r>
    </w:p>
  </w:endnote>
  <w:endnote w:type="continuationSeparator" w:id="0">
    <w:p w14:paraId="6A2F388A" w14:textId="77777777" w:rsidR="009921F4" w:rsidRDefault="009921F4" w:rsidP="005B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Italic">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B79A" w14:textId="77777777" w:rsidR="00C242D9" w:rsidRDefault="00C242D9" w:rsidP="002D07B1">
    <w:pPr>
      <w:pStyle w:val="Footer"/>
      <w:tabs>
        <w:tab w:val="clear" w:pos="4680"/>
        <w:tab w:val="clear" w:pos="936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0A7C" w14:textId="77777777" w:rsidR="00C242D9" w:rsidRDefault="00C242D9" w:rsidP="002D07B1">
    <w:pPr>
      <w:pStyle w:val="Footer"/>
      <w:tabs>
        <w:tab w:val="clear" w:pos="4680"/>
        <w:tab w:val="clear" w:pos="936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F41C" w14:textId="77777777" w:rsidR="00C242D9" w:rsidRDefault="00C242D9" w:rsidP="002D07B1">
    <w:pPr>
      <w:pStyle w:val="Footer"/>
      <w:ind w:firstLine="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CC45" w14:textId="77777777" w:rsidR="009921F4" w:rsidRDefault="009921F4" w:rsidP="005B517A">
      <w:r>
        <w:separator/>
      </w:r>
    </w:p>
  </w:footnote>
  <w:footnote w:type="continuationSeparator" w:id="0">
    <w:p w14:paraId="502C6CFB" w14:textId="77777777" w:rsidR="009921F4" w:rsidRDefault="009921F4" w:rsidP="005B517A">
      <w:r>
        <w:continuationSeparator/>
      </w:r>
    </w:p>
  </w:footnote>
  <w:footnote w:id="1">
    <w:p w14:paraId="7D6F3913" w14:textId="56B4B94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t>*</w:t>
      </w:r>
      <w:r>
        <w:rPr>
          <w:rStyle w:val="FootnoteReference"/>
          <w:rFonts w:cs="Times New Roman"/>
          <w:sz w:val="17"/>
          <w:szCs w:val="17"/>
          <w:vertAlign w:val="baseline"/>
        </w:rPr>
        <w:tab/>
      </w:r>
      <w:r w:rsidRPr="00CC2D68">
        <w:rPr>
          <w:rFonts w:cs="Times New Roman"/>
          <w:color w:val="000000" w:themeColor="text1"/>
          <w:szCs w:val="17"/>
        </w:rPr>
        <w:t xml:space="preserve">Prof. Beckett Cantley (University of California, Berkley, B.A. 1989; Southwestern University School of Law, J.D. cum laude 1995; and University of Florida, College of Law, LL.M. in Taxation, 1997), teaches International Taxation at Northeastern University and is a shareholder in Cantley Dietrich, LLC. Prof. Cantley would like to thank Melissa Cantley and his law clerk, Edward Sotelo, for their contributions to this </w:t>
      </w:r>
      <w:r>
        <w:rPr>
          <w:rFonts w:cs="Times New Roman"/>
          <w:color w:val="000000" w:themeColor="text1"/>
          <w:szCs w:val="17"/>
        </w:rPr>
        <w:t>A</w:t>
      </w:r>
      <w:r w:rsidRPr="00CC2D68">
        <w:rPr>
          <w:rFonts w:cs="Times New Roman"/>
          <w:color w:val="000000" w:themeColor="text1"/>
          <w:szCs w:val="17"/>
        </w:rPr>
        <w:t>rticle.</w:t>
      </w:r>
    </w:p>
  </w:footnote>
  <w:footnote w:id="2">
    <w:p w14:paraId="2EED7A8D" w14:textId="5A243F2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t>**</w:t>
      </w:r>
      <w:r>
        <w:rPr>
          <w:rStyle w:val="FootnoteReference"/>
          <w:rFonts w:cs="Times New Roman"/>
          <w:sz w:val="17"/>
          <w:szCs w:val="17"/>
          <w:vertAlign w:val="baseline"/>
        </w:rPr>
        <w:tab/>
      </w:r>
      <w:r w:rsidRPr="00CC2D68">
        <w:rPr>
          <w:rFonts w:cs="Times New Roman"/>
          <w:color w:val="000000" w:themeColor="text1"/>
          <w:szCs w:val="17"/>
        </w:rPr>
        <w:t xml:space="preserve">Geoffrey Dietrich, Esq. (United States Military Academy at West Point, B.S. 2000; Brigham Young University Law School, J.D. </w:t>
      </w:r>
      <w:r w:rsidRPr="001B6195">
        <w:rPr>
          <w:rFonts w:cs="Times New Roman"/>
          <w:color w:val="000000" w:themeColor="text1"/>
          <w:szCs w:val="17"/>
        </w:rPr>
        <w:t>2008</w:t>
      </w:r>
      <w:r w:rsidRPr="001B6195">
        <w:t xml:space="preserve"> Loyola Law School, Los Angeles, LL.M. in Taxation 2023</w:t>
      </w:r>
      <w:r w:rsidRPr="001B6195">
        <w:rPr>
          <w:rFonts w:cs="Times New Roman"/>
          <w:color w:val="000000" w:themeColor="text1"/>
          <w:szCs w:val="17"/>
        </w:rPr>
        <w:t>) is a shareholder in Cantley Dietrich, LLC</w:t>
      </w:r>
      <w:r w:rsidRPr="00CC2D68">
        <w:rPr>
          <w:rFonts w:cs="Times New Roman"/>
          <w:color w:val="000000" w:themeColor="text1"/>
          <w:szCs w:val="17"/>
        </w:rPr>
        <w:t>.</w:t>
      </w:r>
    </w:p>
  </w:footnote>
  <w:footnote w:id="3">
    <w:p w14:paraId="6783353B" w14:textId="518F75B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eastAsia="Calibri" w:cs="Times New Roman"/>
          <w:i/>
          <w:iCs/>
          <w:szCs w:val="17"/>
        </w:rPr>
        <w:t>See</w:t>
      </w:r>
      <w:r w:rsidRPr="00CC2D68">
        <w:rPr>
          <w:rFonts w:eastAsia="Calibri" w:cs="Times New Roman"/>
          <w:szCs w:val="17"/>
        </w:rPr>
        <w:t xml:space="preserve"> Joshua D. Blank &amp; Ari Glogower, </w:t>
      </w:r>
      <w:r w:rsidRPr="00CC2D68">
        <w:rPr>
          <w:rFonts w:eastAsia="Calibri" w:cs="Times New Roman"/>
          <w:i/>
          <w:iCs/>
          <w:szCs w:val="17"/>
        </w:rPr>
        <w:t>The Trouble with Targeting Tax Shelters</w:t>
      </w:r>
      <w:r w:rsidRPr="00CC2D68">
        <w:rPr>
          <w:rFonts w:eastAsia="Calibri" w:cs="Times New Roman"/>
          <w:szCs w:val="17"/>
        </w:rPr>
        <w:t xml:space="preserve">, 74 </w:t>
      </w:r>
      <w:r w:rsidRPr="00CC2D68">
        <w:rPr>
          <w:rFonts w:eastAsia="Calibri" w:cs="Times New Roman"/>
          <w:smallCaps/>
          <w:szCs w:val="17"/>
        </w:rPr>
        <w:t>Admin. L. Rev.</w:t>
      </w:r>
      <w:r w:rsidRPr="00CC2D68">
        <w:rPr>
          <w:rFonts w:eastAsia="Calibri" w:cs="Times New Roman"/>
          <w:szCs w:val="17"/>
        </w:rPr>
        <w:t xml:space="preserve"> 69, 70 (2022)</w:t>
      </w:r>
      <w:r>
        <w:rPr>
          <w:rFonts w:eastAsia="Calibri" w:cs="Times New Roman"/>
          <w:szCs w:val="17"/>
        </w:rPr>
        <w:t>.</w:t>
      </w:r>
    </w:p>
  </w:footnote>
  <w:footnote w:id="4">
    <w:p w14:paraId="2F9E199C" w14:textId="50D7BFC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Treasury and IRS Propose Regulations Identifying Micro-Captive Transactions as Abusive Tax Transactions</w:t>
      </w:r>
      <w:r w:rsidRPr="00CC2D68">
        <w:rPr>
          <w:rFonts w:cs="Times New Roman"/>
          <w:szCs w:val="17"/>
        </w:rPr>
        <w:t xml:space="preserve">, </w:t>
      </w:r>
      <w:r w:rsidRPr="00CC2D68">
        <w:rPr>
          <w:rFonts w:cs="Times New Roman"/>
          <w:smallCaps/>
          <w:szCs w:val="17"/>
        </w:rPr>
        <w:t>IRS</w:t>
      </w:r>
      <w:r w:rsidRPr="00CC2D68">
        <w:rPr>
          <w:rFonts w:cs="Times New Roman"/>
          <w:szCs w:val="17"/>
        </w:rPr>
        <w:t xml:space="preserve"> (Apr. 10, 2023), https://www.irs.gov/newsroom/treasury-and-irs-propose-regulations-identifying-micro-captive-transactions-as-abusive-tax-transactions [https://perma.cc/FD3L-E3KZ] (“Tax law generally allows businesses to create ‘captive’ insurance companies to protect against insurance risks and provides that certain small non-life insurance companies can choose to pay tax only on their investment income under Internal Revenue Code section 831(b) (‘micro-captives’). In abusive micro-captive structures, promoters, accountants or wealth planners persuade owners of closely held entities to participate in schemes that lack many of the attributes of genuine insurance.”).</w:t>
      </w:r>
    </w:p>
  </w:footnote>
  <w:footnote w:id="5">
    <w:p w14:paraId="5F495534" w14:textId="2AE3F6B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Pr>
          <w:rFonts w:cs="Times New Roman"/>
          <w:szCs w:val="17"/>
        </w:rPr>
        <w:t xml:space="preserve"> </w:t>
      </w:r>
      <w:r w:rsidRPr="00CC2D68">
        <w:rPr>
          <w:rFonts w:cs="Times New Roman"/>
          <w:szCs w:val="17"/>
        </w:rPr>
        <w:t>I.R.S. Notice 2016-66, 2016-47 I.R.B. 745 [hereinafter Notice</w:t>
      </w:r>
      <w:r w:rsidRPr="00CC2D68">
        <w:rPr>
          <w:rFonts w:cs="Times New Roman"/>
          <w:smallCaps/>
          <w:szCs w:val="17"/>
        </w:rPr>
        <w:t xml:space="preserve"> </w:t>
      </w:r>
      <w:r w:rsidRPr="00CC2D68">
        <w:rPr>
          <w:rFonts w:cs="Times New Roman"/>
          <w:szCs w:val="17"/>
        </w:rPr>
        <w:t>2016-66].</w:t>
      </w:r>
    </w:p>
  </w:footnote>
  <w:footnote w:id="6">
    <w:p w14:paraId="47A5B6B9" w14:textId="07A4340B" w:rsidR="00C242D9" w:rsidRDefault="00C242D9" w:rsidP="007821FB">
      <w:pPr>
        <w:shd w:val="clear" w:color="auto" w:fill="FFFFFF"/>
        <w:contextualSpacing/>
        <w:rPr>
          <w:rFonts w:cs="Times New Roman"/>
          <w:sz w:val="17"/>
          <w:szCs w:val="17"/>
        </w:rPr>
      </w:pPr>
      <w:r w:rsidRPr="00CC2D68">
        <w:rPr>
          <w:rStyle w:val="FootnoteReference"/>
          <w:rFonts w:cs="Times New Roman"/>
          <w:sz w:val="17"/>
          <w:szCs w:val="17"/>
          <w:vertAlign w:val="baseline"/>
        </w:rPr>
        <w:footnoteRef/>
      </w:r>
      <w:r w:rsidRPr="00CC2D68">
        <w:rPr>
          <w:rFonts w:cs="Times New Roman"/>
          <w:sz w:val="17"/>
          <w:szCs w:val="17"/>
        </w:rPr>
        <w:t xml:space="preserve">. </w:t>
      </w:r>
      <w:r w:rsidRPr="00CC2D68">
        <w:rPr>
          <w:rFonts w:cs="Times New Roman"/>
          <w:i/>
          <w:iCs/>
          <w:sz w:val="17"/>
          <w:szCs w:val="17"/>
        </w:rPr>
        <w:t xml:space="preserve">Notice 2016-66: Is the IRS Repeating the Mistakes of the Past or Learning from </w:t>
      </w:r>
      <w:proofErr w:type="gramStart"/>
      <w:r w:rsidRPr="00CC2D68">
        <w:rPr>
          <w:rFonts w:cs="Times New Roman"/>
          <w:i/>
          <w:iCs/>
          <w:sz w:val="17"/>
          <w:szCs w:val="17"/>
        </w:rPr>
        <w:t>Them?</w:t>
      </w:r>
      <w:r w:rsidRPr="00CC2D68">
        <w:rPr>
          <w:rFonts w:cs="Times New Roman"/>
          <w:sz w:val="17"/>
          <w:szCs w:val="17"/>
        </w:rPr>
        <w:t>,</w:t>
      </w:r>
      <w:proofErr w:type="gramEnd"/>
      <w:r w:rsidRPr="00CC2D68">
        <w:rPr>
          <w:rFonts w:cs="Times New Roman"/>
          <w:sz w:val="17"/>
          <w:szCs w:val="17"/>
        </w:rPr>
        <w:t xml:space="preserve"> </w:t>
      </w:r>
      <w:r w:rsidRPr="00CC2D68">
        <w:rPr>
          <w:rFonts w:cs="Times New Roman"/>
          <w:smallCaps/>
          <w:sz w:val="17"/>
          <w:szCs w:val="17"/>
        </w:rPr>
        <w:t>Captive Ins. Times</w:t>
      </w:r>
      <w:r w:rsidRPr="00CC2D68">
        <w:rPr>
          <w:rFonts w:cs="Times New Roman"/>
          <w:sz w:val="17"/>
          <w:szCs w:val="17"/>
        </w:rPr>
        <w:t xml:space="preserve"> (Apr</w:t>
      </w:r>
      <w:r>
        <w:rPr>
          <w:rFonts w:cs="Times New Roman"/>
          <w:sz w:val="17"/>
          <w:szCs w:val="17"/>
        </w:rPr>
        <w:t>.</w:t>
      </w:r>
      <w:r w:rsidRPr="00CC2D68">
        <w:rPr>
          <w:rFonts w:cs="Times New Roman"/>
          <w:sz w:val="17"/>
          <w:szCs w:val="17"/>
        </w:rPr>
        <w:t xml:space="preserve"> 19, 2017),</w:t>
      </w:r>
    </w:p>
    <w:p w14:paraId="1B569C6F" w14:textId="02671538" w:rsidR="00C242D9" w:rsidRPr="00CC2D68" w:rsidRDefault="00C242D9" w:rsidP="007821FB">
      <w:pPr>
        <w:shd w:val="clear" w:color="auto" w:fill="FFFFFF"/>
        <w:ind w:firstLine="0"/>
        <w:contextualSpacing/>
        <w:rPr>
          <w:rFonts w:cs="Times New Roman"/>
          <w:sz w:val="17"/>
          <w:szCs w:val="17"/>
        </w:rPr>
      </w:pPr>
      <w:r w:rsidRPr="00CC2D68">
        <w:rPr>
          <w:rFonts w:cs="Times New Roman"/>
          <w:sz w:val="17"/>
          <w:szCs w:val="17"/>
        </w:rPr>
        <w:t xml:space="preserve">https://www.captiveinsurancetimes.com/specialistfeatures/specialistfeature.php?specialist/specialistfeature.php?specialist_id=174&amp;navigationaction=features&amp;newssection=features [https://perma.cc/C364-SVQF] [hereinafter </w:t>
      </w:r>
      <w:r w:rsidRPr="00CC2D68">
        <w:rPr>
          <w:rFonts w:cs="Times New Roman"/>
          <w:smallCaps/>
          <w:sz w:val="17"/>
          <w:szCs w:val="17"/>
        </w:rPr>
        <w:t>Captive Insurance Times</w:t>
      </w:r>
      <w:r w:rsidRPr="00CC2D68">
        <w:rPr>
          <w:rFonts w:cs="Times New Roman"/>
          <w:sz w:val="17"/>
          <w:szCs w:val="17"/>
        </w:rPr>
        <w:t>] (“Moreover, the IRS acknowledged that there are micro captives that are truly legitimate insurance companies and that those companies will have a reporting requirement even though they are not the companies the IRS is concerned with.”);</w:t>
      </w:r>
      <w:r w:rsidRPr="00CC2D68">
        <w:rPr>
          <w:rFonts w:cs="Times New Roman"/>
          <w:i/>
          <w:iCs/>
          <w:sz w:val="17"/>
          <w:szCs w:val="17"/>
          <w:bdr w:val="none" w:sz="0" w:space="0" w:color="auto" w:frame="1"/>
        </w:rPr>
        <w:t xml:space="preserve"> see also</w:t>
      </w:r>
      <w:r w:rsidRPr="00CC2D68">
        <w:rPr>
          <w:rFonts w:cs="Times New Roman"/>
          <w:sz w:val="17"/>
          <w:szCs w:val="17"/>
          <w:bdr w:val="none" w:sz="0" w:space="0" w:color="auto" w:frame="1"/>
        </w:rPr>
        <w:t xml:space="preserve"> </w:t>
      </w:r>
      <w:r w:rsidRPr="00CC2D68">
        <w:rPr>
          <w:rFonts w:cs="Times New Roman"/>
          <w:i/>
          <w:iCs/>
          <w:sz w:val="17"/>
          <w:szCs w:val="17"/>
          <w:bdr w:val="none" w:sz="0" w:space="0" w:color="auto" w:frame="1"/>
        </w:rPr>
        <w:t>id.</w:t>
      </w:r>
      <w:r w:rsidRPr="00CC2D68">
        <w:rPr>
          <w:rFonts w:cs="Times New Roman"/>
          <w:sz w:val="17"/>
          <w:szCs w:val="17"/>
          <w:bdr w:val="none" w:sz="0" w:space="0" w:color="auto" w:frame="1"/>
        </w:rPr>
        <w:t xml:space="preserve"> (explaining the Treasury Department limits inquiry to transactions with certain characteristics involving an abusive micro-captive company); </w:t>
      </w:r>
      <w:r w:rsidRPr="00CC2D68">
        <w:rPr>
          <w:rFonts w:cs="Times New Roman"/>
          <w:i/>
          <w:iCs/>
          <w:sz w:val="17"/>
          <w:szCs w:val="17"/>
          <w:bdr w:val="none" w:sz="0" w:space="0" w:color="auto" w:frame="1"/>
        </w:rPr>
        <w:t>see also</w:t>
      </w:r>
      <w:r w:rsidRPr="00CC2D68">
        <w:rPr>
          <w:rFonts w:cs="Times New Roman"/>
          <w:sz w:val="17"/>
          <w:szCs w:val="17"/>
          <w:bdr w:val="none" w:sz="0" w:space="0" w:color="auto" w:frame="1"/>
        </w:rPr>
        <w:t xml:space="preserve"> </w:t>
      </w:r>
      <w:r>
        <w:rPr>
          <w:rFonts w:cs="Times New Roman"/>
          <w:i/>
          <w:iCs/>
          <w:sz w:val="17"/>
          <w:szCs w:val="17"/>
          <w:bdr w:val="none" w:sz="0" w:space="0" w:color="auto" w:frame="1"/>
        </w:rPr>
        <w:t xml:space="preserve">id. </w:t>
      </w:r>
      <w:r w:rsidRPr="00CC2D68">
        <w:rPr>
          <w:rFonts w:cs="Times New Roman"/>
          <w:sz w:val="17"/>
          <w:szCs w:val="17"/>
        </w:rPr>
        <w:t>(“Moreover, the IRS acknowledged that there are micro captives that are truly legitimate insurance companies and that those companies will have a reporting requirement even though they are not the companies the IRS is concerned with.”).</w:t>
      </w:r>
    </w:p>
  </w:footnote>
  <w:footnote w:id="7">
    <w:p w14:paraId="64BC216B" w14:textId="3D1D4FB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Notice</w:t>
      </w:r>
      <w:r w:rsidRPr="00CC2D68">
        <w:rPr>
          <w:rFonts w:cs="Times New Roman"/>
          <w:smallCaps/>
          <w:szCs w:val="17"/>
        </w:rPr>
        <w:t xml:space="preserve"> </w:t>
      </w:r>
      <w:r w:rsidRPr="00CC2D68">
        <w:rPr>
          <w:rFonts w:cs="Times New Roman"/>
          <w:szCs w:val="17"/>
        </w:rPr>
        <w:t xml:space="preserve">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 Micro-Captive Listed Transactions and Micro-Captive Transactions of Interest, 88 Fed. Reg. 21</w:t>
      </w:r>
      <w:r>
        <w:rPr>
          <w:rFonts w:cs="Times New Roman"/>
          <w:szCs w:val="17"/>
        </w:rPr>
        <w:t>,</w:t>
      </w:r>
      <w:r w:rsidRPr="00CC2D68">
        <w:rPr>
          <w:rFonts w:cs="Times New Roman"/>
          <w:szCs w:val="17"/>
        </w:rPr>
        <w:t>547 (proposed Apr. 11, 2023) (to be codified at 26 C.F.R. pt.1) [hereinafter Proposed Regulations Document</w:t>
      </w:r>
      <w:r w:rsidRPr="00CC2D68">
        <w:rPr>
          <w:rFonts w:cs="Times New Roman"/>
          <w:iCs/>
          <w:szCs w:val="17"/>
        </w:rPr>
        <w:t>].</w:t>
      </w:r>
    </w:p>
  </w:footnote>
  <w:footnote w:id="8">
    <w:p w14:paraId="205AF092" w14:textId="62D06869"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Notice</w:t>
      </w:r>
      <w:r w:rsidRPr="00CC2D68">
        <w:rPr>
          <w:rFonts w:cs="Times New Roman"/>
          <w:smallCaps/>
          <w:szCs w:val="17"/>
        </w:rPr>
        <w:t xml:space="preserve"> </w:t>
      </w:r>
      <w:r w:rsidRPr="00CC2D68">
        <w:rPr>
          <w:rFonts w:cs="Times New Roman"/>
          <w:szCs w:val="17"/>
        </w:rPr>
        <w:t xml:space="preserve">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9">
    <w:p w14:paraId="5BCBDDB0" w14:textId="3EA06CC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mallCaps/>
          <w:szCs w:val="17"/>
        </w:rPr>
        <w:t>Captive Insurance Times</w:t>
      </w:r>
      <w:r w:rsidRPr="00CC2D68">
        <w:rPr>
          <w:rFonts w:cs="Times New Roman"/>
          <w:szCs w:val="17"/>
        </w:rPr>
        <w:t xml:space="preserve">, </w:t>
      </w:r>
      <w:r w:rsidRPr="00CC2D68">
        <w:rPr>
          <w:rFonts w:cs="Times New Roman"/>
          <w:i/>
          <w:iCs/>
          <w:szCs w:val="17"/>
        </w:rPr>
        <w:t>supra</w:t>
      </w:r>
      <w:r w:rsidRPr="00CC2D68">
        <w:rPr>
          <w:rFonts w:cs="Times New Roman"/>
          <w:szCs w:val="17"/>
        </w:rPr>
        <w:t xml:space="preserve"> note </w:t>
      </w:r>
      <w:r>
        <w:rPr>
          <w:rFonts w:cs="Times New Roman"/>
          <w:szCs w:val="17"/>
        </w:rPr>
        <w:fldChar w:fldCharType="begin"/>
      </w:r>
      <w:r>
        <w:rPr>
          <w:rFonts w:cs="Times New Roman"/>
          <w:szCs w:val="17"/>
        </w:rPr>
        <w:instrText xml:space="preserve"> NOTEREF _Ref149038974 \h  \* MERGEFORMAT </w:instrText>
      </w:r>
      <w:r>
        <w:rPr>
          <w:rFonts w:cs="Times New Roman"/>
          <w:szCs w:val="17"/>
        </w:rPr>
      </w:r>
      <w:r>
        <w:rPr>
          <w:rFonts w:cs="Times New Roman"/>
          <w:szCs w:val="17"/>
        </w:rPr>
        <w:fldChar w:fldCharType="separate"/>
      </w:r>
      <w:r>
        <w:rPr>
          <w:rFonts w:cs="Times New Roman"/>
          <w:szCs w:val="17"/>
        </w:rPr>
        <w:t>4</w:t>
      </w:r>
      <w:r>
        <w:rPr>
          <w:rFonts w:cs="Times New Roman"/>
          <w:szCs w:val="17"/>
        </w:rPr>
        <w:fldChar w:fldCharType="end"/>
      </w:r>
      <w:r w:rsidRPr="00CC2D68">
        <w:rPr>
          <w:rFonts w:cs="Times New Roman"/>
          <w:szCs w:val="17"/>
        </w:rPr>
        <w:t>.</w:t>
      </w:r>
    </w:p>
  </w:footnote>
  <w:footnote w:id="10">
    <w:p w14:paraId="3704A22C" w14:textId="5B67901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CIC Servs., LLC v. Internal Revenue Serv., 141 S. Ct. 1582 (2021) (holding the Anti-Injunction Act did not bar CIC’s complaint that Notice 2016-66 violated the APA).</w:t>
      </w:r>
    </w:p>
  </w:footnote>
  <w:footnote w:id="11">
    <w:p w14:paraId="47CE47C7" w14:textId="64DB1CC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szCs w:val="17"/>
        </w:rPr>
        <w:fldChar w:fldCharType="end"/>
      </w:r>
      <w:r w:rsidRPr="00CC2D68">
        <w:rPr>
          <w:rFonts w:cs="Times New Roman"/>
          <w:iCs/>
          <w:szCs w:val="17"/>
        </w:rPr>
        <w:t xml:space="preserve">, at </w:t>
      </w:r>
      <w:r w:rsidRPr="00CC2D68">
        <w:rPr>
          <w:rFonts w:cs="Times New Roman"/>
          <w:szCs w:val="17"/>
        </w:rPr>
        <w:t>21</w:t>
      </w:r>
      <w:r>
        <w:rPr>
          <w:rFonts w:cs="Times New Roman"/>
          <w:szCs w:val="17"/>
        </w:rPr>
        <w:t>,</w:t>
      </w:r>
      <w:r w:rsidRPr="00CC2D68">
        <w:rPr>
          <w:rFonts w:cs="Times New Roman"/>
          <w:szCs w:val="17"/>
        </w:rPr>
        <w:t>553.</w:t>
      </w:r>
    </w:p>
  </w:footnote>
  <w:footnote w:id="12">
    <w:p w14:paraId="4FA4764F" w14:textId="16539FE0"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Notice</w:t>
      </w:r>
      <w:r w:rsidRPr="00CC2D68">
        <w:rPr>
          <w:rFonts w:cs="Times New Roman"/>
          <w:smallCaps/>
          <w:szCs w:val="17"/>
        </w:rPr>
        <w:t xml:space="preserve"> </w:t>
      </w:r>
      <w:r w:rsidRPr="00CC2D68">
        <w:rPr>
          <w:rFonts w:cs="Times New Roman"/>
          <w:szCs w:val="17"/>
        </w:rPr>
        <w:t xml:space="preserve">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 Treas. Reg. § 6707A(c)(1) (as amended in 2010).</w:t>
      </w:r>
    </w:p>
  </w:footnote>
  <w:footnote w:id="13">
    <w:p w14:paraId="735B8671" w14:textId="693E564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Treas. Reg.</w:t>
      </w:r>
      <w:r w:rsidRPr="00CC2D68">
        <w:rPr>
          <w:rFonts w:cs="Times New Roman"/>
          <w:i/>
          <w:iCs/>
          <w:szCs w:val="17"/>
        </w:rPr>
        <w:t xml:space="preserve"> </w:t>
      </w:r>
      <w:r w:rsidRPr="00CC2D68">
        <w:rPr>
          <w:rFonts w:cs="Times New Roman"/>
          <w:szCs w:val="17"/>
        </w:rPr>
        <w:t>§ 1.6011-4(b)(2) (as amended in 2010).</w:t>
      </w:r>
    </w:p>
  </w:footnote>
  <w:footnote w:id="14">
    <w:p w14:paraId="1941A3C6" w14:textId="420D1A9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mallCaps/>
          <w:szCs w:val="17"/>
        </w:rPr>
        <w:t>Captive Insurance Times</w:t>
      </w:r>
      <w:r w:rsidRPr="00CC2D68">
        <w:rPr>
          <w:rFonts w:cs="Times New Roman"/>
          <w:szCs w:val="17"/>
        </w:rPr>
        <w:t xml:space="preserve">, </w:t>
      </w:r>
      <w:r w:rsidRPr="00CC2D68">
        <w:rPr>
          <w:rFonts w:cs="Times New Roman"/>
          <w:i/>
          <w:iCs/>
          <w:szCs w:val="17"/>
        </w:rPr>
        <w:t xml:space="preserve">supra </w:t>
      </w:r>
      <w:r w:rsidRPr="00CC2D68">
        <w:rPr>
          <w:rFonts w:cs="Times New Roman"/>
          <w:szCs w:val="17"/>
        </w:rPr>
        <w:t xml:space="preserve">note </w:t>
      </w:r>
      <w:r>
        <w:rPr>
          <w:rFonts w:cs="Times New Roman"/>
          <w:szCs w:val="17"/>
        </w:rPr>
        <w:fldChar w:fldCharType="begin"/>
      </w:r>
      <w:r>
        <w:rPr>
          <w:rFonts w:cs="Times New Roman"/>
          <w:szCs w:val="17"/>
        </w:rPr>
        <w:instrText xml:space="preserve"> NOTEREF _Ref149038974 \h  \* MERGEFORMAT </w:instrText>
      </w:r>
      <w:r>
        <w:rPr>
          <w:rFonts w:cs="Times New Roman"/>
          <w:szCs w:val="17"/>
        </w:rPr>
      </w:r>
      <w:r>
        <w:rPr>
          <w:rFonts w:cs="Times New Roman"/>
          <w:szCs w:val="17"/>
        </w:rPr>
        <w:fldChar w:fldCharType="separate"/>
      </w:r>
      <w:r>
        <w:rPr>
          <w:rFonts w:cs="Times New Roman"/>
          <w:szCs w:val="17"/>
        </w:rPr>
        <w:t>4</w:t>
      </w:r>
      <w:r>
        <w:rPr>
          <w:rFonts w:cs="Times New Roman"/>
          <w:szCs w:val="17"/>
        </w:rPr>
        <w:fldChar w:fldCharType="end"/>
      </w:r>
      <w:r w:rsidRPr="00CC2D68">
        <w:rPr>
          <w:rFonts w:cs="Times New Roman"/>
          <w:szCs w:val="17"/>
        </w:rPr>
        <w:t>.</w:t>
      </w:r>
    </w:p>
  </w:footnote>
  <w:footnote w:id="15">
    <w:p w14:paraId="0634AD0A" w14:textId="23C57DD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Treas. Reg. § 6707A(c)(1) (as amended in 2010).</w:t>
      </w:r>
    </w:p>
  </w:footnote>
  <w:footnote w:id="16">
    <w:p w14:paraId="2DDEFE66"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7">
    <w:p w14:paraId="5ED25782" w14:textId="5CABD22F" w:rsidR="00C242D9" w:rsidRPr="00CC2D68" w:rsidRDefault="00C242D9" w:rsidP="007821FB">
      <w:pPr>
        <w:contextualSpacing/>
        <w:rPr>
          <w:rFonts w:cs="Times New Roman"/>
          <w:sz w:val="17"/>
          <w:szCs w:val="17"/>
        </w:rPr>
      </w:pPr>
      <w:r w:rsidRPr="00CC2D68">
        <w:rPr>
          <w:rStyle w:val="FootnoteReference"/>
          <w:rFonts w:cs="Times New Roman"/>
          <w:sz w:val="17"/>
          <w:szCs w:val="17"/>
          <w:vertAlign w:val="baseline"/>
        </w:rPr>
        <w:footnoteRef/>
      </w:r>
      <w:r w:rsidRPr="00CC2D68">
        <w:rPr>
          <w:rFonts w:cs="Times New Roman"/>
          <w:sz w:val="17"/>
          <w:szCs w:val="17"/>
        </w:rPr>
        <w:t>.</w:t>
      </w:r>
      <w:r w:rsidRPr="00CC2D68">
        <w:rPr>
          <w:rFonts w:cs="Times New Roman"/>
          <w:sz w:val="17"/>
          <w:szCs w:val="17"/>
        </w:rPr>
        <w:tab/>
      </w:r>
      <w:r w:rsidRPr="00CC2D68">
        <w:rPr>
          <w:rFonts w:cs="Times New Roman"/>
          <w:i/>
          <w:iCs/>
          <w:sz w:val="17"/>
          <w:szCs w:val="17"/>
        </w:rPr>
        <w:t>See id.</w:t>
      </w:r>
      <w:r w:rsidRPr="00CC2D68">
        <w:rPr>
          <w:rFonts w:cs="Times New Roman"/>
          <w:sz w:val="17"/>
          <w:szCs w:val="17"/>
        </w:rPr>
        <w:t xml:space="preserve"> § 6111(c)(3) (as amended in 2005).</w:t>
      </w:r>
    </w:p>
  </w:footnote>
  <w:footnote w:id="18">
    <w:p w14:paraId="467408DE" w14:textId="1AFF328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6707(a) (as amended in 2004); </w:t>
      </w:r>
      <w:r w:rsidRPr="00CC2D68">
        <w:rPr>
          <w:rFonts w:cs="Times New Roman"/>
          <w:i/>
          <w:iCs/>
          <w:szCs w:val="17"/>
        </w:rPr>
        <w:t xml:space="preserve">see also id. </w:t>
      </w:r>
      <w:r w:rsidRPr="00CC2D68">
        <w:rPr>
          <w:rFonts w:cs="Times New Roman"/>
          <w:szCs w:val="17"/>
        </w:rPr>
        <w:t>§</w:t>
      </w:r>
      <w:r w:rsidRPr="00CC2D68">
        <w:rPr>
          <w:rFonts w:cs="Times New Roman"/>
          <w:i/>
          <w:iCs/>
          <w:szCs w:val="17"/>
        </w:rPr>
        <w:t xml:space="preserve"> </w:t>
      </w:r>
      <w:r w:rsidRPr="00CC2D68">
        <w:rPr>
          <w:rFonts w:cs="Times New Roman"/>
          <w:szCs w:val="17"/>
        </w:rPr>
        <w:t>6708(a) (as amended in 2004).</w:t>
      </w:r>
      <w:r w:rsidRPr="00CC2D68">
        <w:rPr>
          <w:rFonts w:eastAsia="Times New Roman" w:cs="Times New Roman"/>
          <w:color w:val="000000"/>
          <w:szCs w:val="17"/>
        </w:rPr>
        <w:t xml:space="preserve"> </w:t>
      </w:r>
    </w:p>
  </w:footnote>
  <w:footnote w:id="19">
    <w:p w14:paraId="6C85030A" w14:textId="104BDFE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1.6011-4(b)(1)</w:t>
      </w:r>
      <w:proofErr w:type="gramStart"/>
      <w:r w:rsidRPr="00CC2D68">
        <w:rPr>
          <w:rFonts w:cs="Times New Roman"/>
          <w:szCs w:val="17"/>
        </w:rPr>
        <w:t>–(</w:t>
      </w:r>
      <w:proofErr w:type="gramEnd"/>
      <w:r w:rsidRPr="00CC2D68">
        <w:rPr>
          <w:rFonts w:cs="Times New Roman"/>
          <w:szCs w:val="17"/>
        </w:rPr>
        <w:t>6) (as amended in 2010).</w:t>
      </w:r>
    </w:p>
  </w:footnote>
  <w:footnote w:id="20">
    <w:p w14:paraId="45D28108" w14:textId="7E55F69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 1.6011-4(b)(2) (as amended in 2010) (emphasis added).</w:t>
      </w:r>
    </w:p>
  </w:footnote>
  <w:footnote w:id="21">
    <w:p w14:paraId="37ACE70C" w14:textId="5CE6A62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 1.6011-4(b)(6) (as amended in 2010).</w:t>
      </w:r>
    </w:p>
  </w:footnote>
  <w:footnote w:id="22">
    <w:p w14:paraId="7F289AB6" w14:textId="4AEB58A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6707A (as amended in 2010).</w:t>
      </w:r>
    </w:p>
  </w:footnote>
  <w:footnote w:id="23">
    <w:p w14:paraId="53C432C6" w14:textId="3D2059D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 6707A(b)(2)(A) (as amended in 2010); </w:t>
      </w:r>
      <w:r>
        <w:rPr>
          <w:rFonts w:cs="Times New Roman"/>
          <w:szCs w:val="17"/>
        </w:rPr>
        <w:t xml:space="preserve">Blank &amp; </w:t>
      </w:r>
      <w:r w:rsidRPr="00CC2D68">
        <w:rPr>
          <w:rFonts w:eastAsia="Calibri" w:cs="Times New Roman"/>
          <w:szCs w:val="17"/>
        </w:rPr>
        <w:t>Glogower</w:t>
      </w:r>
      <w:r w:rsidRPr="00CC2D68">
        <w:rPr>
          <w:rFonts w:cs="Times New Roman"/>
          <w:szCs w:val="17"/>
        </w:rPr>
        <w:t xml:space="preserve">, </w:t>
      </w:r>
      <w:r w:rsidRPr="00CC2D68">
        <w:rPr>
          <w:rFonts w:cs="Times New Roman"/>
          <w:i/>
          <w:iCs/>
          <w:szCs w:val="17"/>
        </w:rPr>
        <w:t xml:space="preserve">supra </w:t>
      </w:r>
      <w:r w:rsidRPr="00CC2D68">
        <w:rPr>
          <w:rFonts w:cs="Times New Roman"/>
          <w:szCs w:val="17"/>
        </w:rPr>
        <w:t xml:space="preserve">note </w:t>
      </w:r>
      <w:r w:rsidRPr="00CC2D68">
        <w:rPr>
          <w:rFonts w:cs="Times New Roman"/>
          <w:szCs w:val="17"/>
        </w:rPr>
        <w:fldChar w:fldCharType="begin"/>
      </w:r>
      <w:r w:rsidRPr="00CC2D68">
        <w:rPr>
          <w:rFonts w:cs="Times New Roman"/>
          <w:szCs w:val="17"/>
        </w:rPr>
        <w:instrText xml:space="preserve"> NOTEREF _Ref141549616 \h  \* MERGEFORMAT </w:instrText>
      </w:r>
      <w:r w:rsidRPr="00CC2D68">
        <w:rPr>
          <w:rFonts w:cs="Times New Roman"/>
          <w:szCs w:val="17"/>
        </w:rPr>
      </w:r>
      <w:r w:rsidRPr="00CC2D68">
        <w:rPr>
          <w:rFonts w:cs="Times New Roman"/>
          <w:szCs w:val="17"/>
        </w:rPr>
        <w:fldChar w:fldCharType="separate"/>
      </w:r>
      <w:r>
        <w:rPr>
          <w:rFonts w:cs="Times New Roman"/>
          <w:szCs w:val="17"/>
        </w:rPr>
        <w:t>1</w:t>
      </w:r>
      <w:r w:rsidRPr="00CC2D68">
        <w:rPr>
          <w:rFonts w:cs="Times New Roman"/>
          <w:szCs w:val="17"/>
        </w:rPr>
        <w:fldChar w:fldCharType="end"/>
      </w:r>
      <w:r w:rsidRPr="00CC2D68">
        <w:rPr>
          <w:rFonts w:cs="Times New Roman"/>
          <w:szCs w:val="17"/>
        </w:rPr>
        <w:t>, at 76.</w:t>
      </w:r>
    </w:p>
  </w:footnote>
  <w:footnote w:id="24">
    <w:p w14:paraId="28DCBD1C" w14:textId="67039FE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Treas. Reg. § 6707A(b)(2)(B) (as amended in 2010).</w:t>
      </w:r>
    </w:p>
  </w:footnote>
  <w:footnote w:id="25">
    <w:p w14:paraId="374F9338" w14:textId="545032D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6707(b)(2) (as amended in 2004). Notably, intentional failures or acts to not disclose listed transactions would raise the percentage to 75% instead of 50% of the income. </w:t>
      </w:r>
      <w:r w:rsidRPr="00CC2D68">
        <w:rPr>
          <w:rFonts w:cs="Times New Roman"/>
          <w:i/>
          <w:iCs/>
          <w:szCs w:val="17"/>
        </w:rPr>
        <w:t>Id.</w:t>
      </w:r>
    </w:p>
  </w:footnote>
  <w:footnote w:id="26">
    <w:p w14:paraId="02CFA017" w14:textId="0905146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 6707(b)(1) (as amended in 2004).</w:t>
      </w:r>
    </w:p>
  </w:footnote>
  <w:footnote w:id="27">
    <w:p w14:paraId="723D568A" w14:textId="69477B47" w:rsidR="00C242D9" w:rsidRPr="00CC2D68" w:rsidRDefault="00C242D9" w:rsidP="007821FB">
      <w:pPr>
        <w:contextualSpacing/>
        <w:textAlignment w:val="baseline"/>
        <w:rPr>
          <w:rFonts w:eastAsia="Times New Roman" w:cs="Times New Roman"/>
          <w:bCs/>
          <w:sz w:val="17"/>
          <w:szCs w:val="17"/>
        </w:rPr>
      </w:pPr>
      <w:r w:rsidRPr="00CC2D68">
        <w:rPr>
          <w:rStyle w:val="FootnoteReference"/>
          <w:rFonts w:cs="Times New Roman"/>
          <w:sz w:val="17"/>
          <w:szCs w:val="17"/>
          <w:vertAlign w:val="baseline"/>
        </w:rPr>
        <w:footnoteRef/>
      </w:r>
      <w:r w:rsidRPr="00CC2D68">
        <w:rPr>
          <w:rFonts w:cs="Times New Roman"/>
          <w:sz w:val="17"/>
          <w:szCs w:val="17"/>
        </w:rPr>
        <w:t>.</w:t>
      </w:r>
      <w:r w:rsidRPr="00CC2D68">
        <w:rPr>
          <w:rFonts w:cs="Times New Roman"/>
          <w:sz w:val="17"/>
          <w:szCs w:val="17"/>
        </w:rPr>
        <w:tab/>
      </w:r>
      <w:r w:rsidRPr="00CC2D68">
        <w:rPr>
          <w:rFonts w:cs="Times New Roman"/>
          <w:i/>
          <w:iCs/>
          <w:sz w:val="17"/>
          <w:szCs w:val="17"/>
        </w:rPr>
        <w:t>See id.</w:t>
      </w:r>
      <w:r w:rsidRPr="00CC2D68">
        <w:rPr>
          <w:rFonts w:cs="Times New Roman"/>
          <w:sz w:val="17"/>
          <w:szCs w:val="17"/>
        </w:rPr>
        <w:t xml:space="preserve"> § 6707(b)(2) (as amended in 2004).</w:t>
      </w:r>
    </w:p>
  </w:footnote>
  <w:footnote w:id="28">
    <w:p w14:paraId="362DD137" w14:textId="1D82652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1.6011-4(d) (as amended in 2010).</w:t>
      </w:r>
    </w:p>
  </w:footnote>
  <w:footnote w:id="29">
    <w:p w14:paraId="16BFF6BC" w14:textId="23ADBBA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w:t>
      </w:r>
      <w:r w:rsidRPr="00CC2D68">
        <w:rPr>
          <w:rFonts w:cs="Times New Roman"/>
          <w:szCs w:val="17"/>
        </w:rPr>
        <w:t xml:space="preserve"> </w:t>
      </w:r>
      <w:r w:rsidRPr="00CC2D68">
        <w:rPr>
          <w:rFonts w:cs="Times New Roman"/>
          <w:i/>
          <w:iCs/>
          <w:szCs w:val="17"/>
        </w:rPr>
        <w:t>id.</w:t>
      </w:r>
      <w:r w:rsidRPr="00CC2D68">
        <w:rPr>
          <w:rFonts w:cs="Times New Roman"/>
          <w:szCs w:val="17"/>
        </w:rPr>
        <w:t xml:space="preserve"> § 301.6111-3(d)(1) (as amended in 2011).</w:t>
      </w:r>
    </w:p>
  </w:footnote>
  <w:footnote w:id="30">
    <w:p w14:paraId="5D695646" w14:textId="5E17CB1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Pr>
          <w:rFonts w:cs="Times New Roman"/>
          <w:szCs w:val="17"/>
        </w:rPr>
        <w:t xml:space="preserve">Blank &amp; </w:t>
      </w:r>
      <w:r w:rsidRPr="00CC2D68">
        <w:rPr>
          <w:rFonts w:eastAsia="Calibri" w:cs="Times New Roman"/>
          <w:szCs w:val="17"/>
        </w:rPr>
        <w:t>Glogower</w:t>
      </w:r>
      <w:r w:rsidRPr="00CC2D68">
        <w:rPr>
          <w:rFonts w:cs="Times New Roman"/>
          <w:szCs w:val="17"/>
        </w:rPr>
        <w:t xml:space="preserve">, </w:t>
      </w:r>
      <w:r w:rsidRPr="00CC2D68">
        <w:rPr>
          <w:rFonts w:cs="Times New Roman"/>
          <w:i/>
          <w:iCs/>
          <w:szCs w:val="17"/>
        </w:rPr>
        <w:t xml:space="preserve">supra </w:t>
      </w:r>
      <w:r w:rsidRPr="00CC2D68">
        <w:rPr>
          <w:rFonts w:cs="Times New Roman"/>
          <w:szCs w:val="17"/>
        </w:rPr>
        <w:t xml:space="preserve">note </w:t>
      </w:r>
      <w:r w:rsidRPr="00CC2D68">
        <w:rPr>
          <w:rFonts w:cs="Times New Roman"/>
          <w:szCs w:val="17"/>
        </w:rPr>
        <w:fldChar w:fldCharType="begin"/>
      </w:r>
      <w:r w:rsidRPr="00CC2D68">
        <w:rPr>
          <w:rFonts w:cs="Times New Roman"/>
          <w:szCs w:val="17"/>
        </w:rPr>
        <w:instrText xml:space="preserve"> NOTEREF _Ref141549616 \h  \* MERGEFORMAT </w:instrText>
      </w:r>
      <w:r w:rsidRPr="00CC2D68">
        <w:rPr>
          <w:rFonts w:cs="Times New Roman"/>
          <w:szCs w:val="17"/>
        </w:rPr>
      </w:r>
      <w:r w:rsidRPr="00CC2D68">
        <w:rPr>
          <w:rFonts w:cs="Times New Roman"/>
          <w:szCs w:val="17"/>
        </w:rPr>
        <w:fldChar w:fldCharType="separate"/>
      </w:r>
      <w:r>
        <w:rPr>
          <w:rFonts w:cs="Times New Roman"/>
          <w:szCs w:val="17"/>
        </w:rPr>
        <w:t>1</w:t>
      </w:r>
      <w:r w:rsidRPr="00CC2D68">
        <w:rPr>
          <w:rFonts w:cs="Times New Roman"/>
          <w:szCs w:val="17"/>
        </w:rPr>
        <w:fldChar w:fldCharType="end"/>
      </w:r>
      <w:r w:rsidRPr="00CC2D68">
        <w:rPr>
          <w:rFonts w:cs="Times New Roman"/>
          <w:szCs w:val="17"/>
        </w:rPr>
        <w:t>, at 76.</w:t>
      </w:r>
    </w:p>
  </w:footnote>
  <w:footnote w:id="31">
    <w:p w14:paraId="2D1F9C50" w14:textId="72E3B02C" w:rsidR="00C242D9" w:rsidRPr="00CC2D68" w:rsidRDefault="00C242D9" w:rsidP="007821FB">
      <w:pPr>
        <w:pStyle w:val="FootnoteText"/>
        <w:rPr>
          <w:rFonts w:cs="Times New Roman"/>
          <w:i/>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at 77.</w:t>
      </w:r>
    </w:p>
  </w:footnote>
  <w:footnote w:id="32">
    <w:p w14:paraId="30BC7D95" w14:textId="4F3159D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33">
    <w:p w14:paraId="4A2A92C6" w14:textId="5473699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34">
    <w:p w14:paraId="5E4D8102" w14:textId="6CA82CC0"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at 77</w:t>
      </w:r>
      <w:r w:rsidRPr="00CC2D68">
        <w:rPr>
          <w:rFonts w:cs="Times New Roman"/>
          <w:szCs w:val="17"/>
        </w:rPr>
        <w:softHyphen/>
        <w:t>–78.</w:t>
      </w:r>
    </w:p>
  </w:footnote>
  <w:footnote w:id="35">
    <w:p w14:paraId="5E5B03B7" w14:textId="5EDF4DB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78.</w:t>
      </w:r>
    </w:p>
  </w:footnote>
  <w:footnote w:id="36">
    <w:p w14:paraId="77A83A80" w14:textId="62B6D7A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CIC Servs., LLC v. Internal Revenue Serv., 592 F. Supp. 3d 677,</w:t>
      </w:r>
      <w:r w:rsidRPr="00CC2D68">
        <w:rPr>
          <w:rFonts w:cs="Times New Roman"/>
          <w:i/>
          <w:iCs/>
          <w:szCs w:val="17"/>
        </w:rPr>
        <w:t xml:space="preserve"> </w:t>
      </w:r>
      <w:r w:rsidRPr="00CC2D68">
        <w:rPr>
          <w:rFonts w:cs="Times New Roman"/>
          <w:szCs w:val="17"/>
        </w:rPr>
        <w:t xml:space="preserve">677, 688 (E.D. Tenn. 2022), </w:t>
      </w:r>
      <w:r w:rsidRPr="00CC2D68">
        <w:rPr>
          <w:rFonts w:cs="Times New Roman"/>
          <w:i/>
          <w:iCs/>
          <w:szCs w:val="17"/>
        </w:rPr>
        <w:t>on reconsideration</w:t>
      </w:r>
      <w:r w:rsidRPr="00CC2D68">
        <w:rPr>
          <w:rFonts w:cs="Times New Roman"/>
          <w:szCs w:val="17"/>
        </w:rPr>
        <w:t xml:space="preserve">, No. 3:17-CV-110, 2022 WL 2078036 (E.D. Tenn. June 2, 2022); </w:t>
      </w:r>
      <w:r w:rsidRPr="00CC2D68">
        <w:rPr>
          <w:rFonts w:cs="Times New Roman"/>
          <w:i/>
          <w:iCs/>
          <w:szCs w:val="17"/>
        </w:rPr>
        <w:t>see also</w:t>
      </w:r>
      <w:r w:rsidRPr="00CC2D68">
        <w:rPr>
          <w:rFonts w:cs="Times New Roman"/>
          <w:szCs w:val="17"/>
        </w:rPr>
        <w:t xml:space="preserve"> CIC Servs., LLC v. Internal Revenue Serv., 141 S. Ct. 1582 (2021) (allowing challenge to proceed over government’s objections based on Anti-Injunction Act); Mann Constr., Inc. v. United States, 27 F.4th 1138, 1142 (6th Cir. 2022).</w:t>
      </w:r>
    </w:p>
  </w:footnote>
  <w:footnote w:id="37">
    <w:p w14:paraId="0BD935D7" w14:textId="2AC31CE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 xml:space="preserve">David </w:t>
      </w:r>
      <w:proofErr w:type="spellStart"/>
      <w:r w:rsidRPr="00CC2D68">
        <w:rPr>
          <w:rFonts w:cs="Times New Roman"/>
          <w:szCs w:val="17"/>
        </w:rPr>
        <w:t>Slenn</w:t>
      </w:r>
      <w:proofErr w:type="spellEnd"/>
      <w:r w:rsidRPr="00CC2D68">
        <w:rPr>
          <w:rFonts w:cs="Times New Roman"/>
          <w:szCs w:val="17"/>
        </w:rPr>
        <w:t xml:space="preserve">, </w:t>
      </w:r>
      <w:r w:rsidRPr="00CC2D68">
        <w:rPr>
          <w:rFonts w:cs="Times New Roman"/>
          <w:i/>
          <w:iCs/>
          <w:szCs w:val="17"/>
        </w:rPr>
        <w:t>Micro-Captive Insurance at the Tax Court</w:t>
      </w:r>
      <w:r w:rsidRPr="00CC2D68">
        <w:rPr>
          <w:rFonts w:cs="Times New Roman"/>
          <w:szCs w:val="17"/>
        </w:rPr>
        <w:t xml:space="preserve">, </w:t>
      </w:r>
      <w:r w:rsidRPr="00CC2D68">
        <w:rPr>
          <w:rFonts w:cs="Times New Roman"/>
          <w:smallCaps/>
          <w:szCs w:val="17"/>
        </w:rPr>
        <w:t>Am. Bar Ass’n</w:t>
      </w:r>
      <w:r w:rsidRPr="00CC2D68">
        <w:rPr>
          <w:rFonts w:cs="Times New Roman"/>
          <w:szCs w:val="17"/>
        </w:rPr>
        <w:t xml:space="preserve"> (June 10, 2021), https://www.americanbar.org/groups/taxation/publications/abataxtimes_home/21spr/21spr-ac-slenn-micro-captive-insurance/ [https://perma.cc/36S9-3YZS].</w:t>
      </w:r>
    </w:p>
  </w:footnote>
  <w:footnote w:id="38">
    <w:p w14:paraId="26F33DD1" w14:textId="0900EB3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Richard M. </w:t>
      </w:r>
      <w:proofErr w:type="spellStart"/>
      <w:r w:rsidRPr="00CC2D68">
        <w:rPr>
          <w:rFonts w:cs="Times New Roman"/>
          <w:szCs w:val="17"/>
        </w:rPr>
        <w:t>Colombik</w:t>
      </w:r>
      <w:proofErr w:type="spellEnd"/>
      <w:r w:rsidRPr="00CC2D68">
        <w:rPr>
          <w:rFonts w:cs="Times New Roman"/>
          <w:szCs w:val="17"/>
        </w:rPr>
        <w:t xml:space="preserve">, </w:t>
      </w:r>
      <w:r w:rsidRPr="00CC2D68">
        <w:rPr>
          <w:rFonts w:cs="Times New Roman"/>
          <w:i/>
          <w:iCs/>
          <w:szCs w:val="17"/>
        </w:rPr>
        <w:t>Captive Insurance Companies</w:t>
      </w:r>
      <w:r w:rsidRPr="00CC2D68">
        <w:rPr>
          <w:rFonts w:cs="Times New Roman"/>
          <w:szCs w:val="17"/>
        </w:rPr>
        <w:t xml:space="preserve">, </w:t>
      </w:r>
      <w:r w:rsidRPr="00CC2D68">
        <w:rPr>
          <w:rFonts w:cs="Times New Roman"/>
          <w:smallCaps/>
          <w:szCs w:val="17"/>
        </w:rPr>
        <w:t>Inc.Com</w:t>
      </w:r>
      <w:r w:rsidRPr="00CC2D68">
        <w:rPr>
          <w:rFonts w:cs="Times New Roman"/>
          <w:szCs w:val="17"/>
        </w:rPr>
        <w:t xml:space="preserve"> (Aug. 13, 2008), http://www.inc.com/law-and-taxation/2008/08/captive_insurance_companies.html [https://perma.cc/RLB8-5MNB].</w:t>
      </w:r>
    </w:p>
  </w:footnote>
  <w:footnote w:id="39">
    <w:p w14:paraId="5C97440E" w14:textId="61936EF9" w:rsidR="00C242D9" w:rsidRPr="00CC2D68" w:rsidRDefault="00C242D9" w:rsidP="007821FB">
      <w:pPr>
        <w:contextualSpacing/>
        <w:rPr>
          <w:rFonts w:cs="Times New Roman"/>
          <w:i/>
          <w:iCs/>
          <w:sz w:val="17"/>
          <w:szCs w:val="17"/>
        </w:rPr>
      </w:pPr>
      <w:r w:rsidRPr="00CC2D68">
        <w:rPr>
          <w:rStyle w:val="FootnoteReference"/>
          <w:rFonts w:cs="Times New Roman"/>
          <w:sz w:val="17"/>
          <w:szCs w:val="17"/>
          <w:vertAlign w:val="baseline"/>
        </w:rPr>
        <w:footnoteRef/>
      </w:r>
      <w:r w:rsidRPr="00CC2D68">
        <w:rPr>
          <w:rFonts w:cs="Times New Roman"/>
          <w:sz w:val="17"/>
          <w:szCs w:val="17"/>
        </w:rPr>
        <w:t>.</w:t>
      </w:r>
      <w:r w:rsidRPr="00CC2D68">
        <w:rPr>
          <w:rFonts w:cs="Times New Roman"/>
          <w:sz w:val="17"/>
          <w:szCs w:val="17"/>
        </w:rPr>
        <w:tab/>
      </w:r>
      <w:r w:rsidRPr="00CC2D68">
        <w:rPr>
          <w:rFonts w:cs="Times New Roman"/>
          <w:i/>
          <w:iCs/>
          <w:sz w:val="17"/>
          <w:szCs w:val="17"/>
        </w:rPr>
        <w:t xml:space="preserve">See </w:t>
      </w:r>
      <w:r w:rsidRPr="00CC2D68">
        <w:rPr>
          <w:rFonts w:cs="Times New Roman"/>
          <w:sz w:val="17"/>
          <w:szCs w:val="17"/>
          <w:bdr w:val="none" w:sz="0" w:space="0" w:color="auto" w:frame="1"/>
        </w:rPr>
        <w:t xml:space="preserve">Avrahami v. Comm’r, </w:t>
      </w:r>
      <w:r w:rsidRPr="00CC2D68">
        <w:rPr>
          <w:rFonts w:cs="Times New Roman"/>
          <w:sz w:val="17"/>
          <w:szCs w:val="17"/>
        </w:rPr>
        <w:t>149 T.C. 144, 179 (2017).</w:t>
      </w:r>
    </w:p>
  </w:footnote>
  <w:footnote w:id="40">
    <w:p w14:paraId="321AB1B7" w14:textId="32288360"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proofErr w:type="spellStart"/>
      <w:r w:rsidRPr="00CC2D68">
        <w:rPr>
          <w:rFonts w:cs="Times New Roman"/>
          <w:szCs w:val="17"/>
        </w:rPr>
        <w:t>Slenn</w:t>
      </w:r>
      <w:proofErr w:type="spellEnd"/>
      <w:r w:rsidRPr="00CC2D68">
        <w:rPr>
          <w:rFonts w:cs="Times New Roman"/>
          <w:szCs w:val="17"/>
        </w:rPr>
        <w:t xml:space="preserve">,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_Ref141549696 \h  \* MERGEFORMAT </w:instrText>
      </w:r>
      <w:r w:rsidRPr="00CC2D68">
        <w:rPr>
          <w:rFonts w:cs="Times New Roman"/>
          <w:szCs w:val="17"/>
        </w:rPr>
      </w:r>
      <w:r w:rsidRPr="00CC2D68">
        <w:rPr>
          <w:rFonts w:cs="Times New Roman"/>
          <w:szCs w:val="17"/>
        </w:rPr>
        <w:fldChar w:fldCharType="separate"/>
      </w:r>
      <w:r>
        <w:rPr>
          <w:rFonts w:cs="Times New Roman"/>
          <w:szCs w:val="17"/>
        </w:rPr>
        <w:t>35</w:t>
      </w:r>
      <w:r w:rsidRPr="00CC2D68">
        <w:rPr>
          <w:rFonts w:cs="Times New Roman"/>
          <w:szCs w:val="17"/>
        </w:rPr>
        <w:fldChar w:fldCharType="end"/>
      </w:r>
      <w:r>
        <w:rPr>
          <w:rFonts w:cs="Times New Roman"/>
          <w:szCs w:val="17"/>
        </w:rPr>
        <w:t>.</w:t>
      </w:r>
    </w:p>
  </w:footnote>
  <w:footnote w:id="41">
    <w:p w14:paraId="45209126" w14:textId="766859D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11 </w:t>
      </w:r>
      <w:r w:rsidRPr="00CC2D68">
        <w:rPr>
          <w:rFonts w:cs="Times New Roman"/>
          <w:smallCaps/>
          <w:szCs w:val="17"/>
        </w:rPr>
        <w:t xml:space="preserve">Mertens Law of Fed. Income </w:t>
      </w:r>
      <w:proofErr w:type="spellStart"/>
      <w:r w:rsidRPr="00CC2D68">
        <w:rPr>
          <w:rFonts w:cs="Times New Roman"/>
          <w:smallCaps/>
          <w:szCs w:val="17"/>
        </w:rPr>
        <w:t>Tax’n</w:t>
      </w:r>
      <w:proofErr w:type="spellEnd"/>
      <w:r w:rsidRPr="00CC2D68">
        <w:rPr>
          <w:rFonts w:cs="Times New Roman"/>
          <w:szCs w:val="17"/>
        </w:rPr>
        <w:t xml:space="preserve"> § 44:24, Westlaw (database updated May 2023).</w:t>
      </w:r>
    </w:p>
  </w:footnote>
  <w:footnote w:id="42">
    <w:p w14:paraId="0D6D2637" w14:textId="5DB4ED2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 xml:space="preserve">Julia Kagan, </w:t>
      </w:r>
      <w:r w:rsidRPr="00CC2D68">
        <w:rPr>
          <w:rFonts w:cs="Times New Roman"/>
          <w:i/>
          <w:iCs/>
          <w:szCs w:val="17"/>
        </w:rPr>
        <w:t xml:space="preserve">Underwriting Income: What it is, </w:t>
      </w:r>
      <w:proofErr w:type="gramStart"/>
      <w:r w:rsidRPr="00CC2D68">
        <w:rPr>
          <w:rFonts w:cs="Times New Roman"/>
          <w:i/>
          <w:iCs/>
          <w:szCs w:val="17"/>
        </w:rPr>
        <w:t>How</w:t>
      </w:r>
      <w:proofErr w:type="gramEnd"/>
      <w:r w:rsidRPr="00CC2D68">
        <w:rPr>
          <w:rFonts w:cs="Times New Roman"/>
          <w:i/>
          <w:iCs/>
          <w:szCs w:val="17"/>
        </w:rPr>
        <w:t xml:space="preserve"> it Works</w:t>
      </w:r>
      <w:r w:rsidRPr="00CC2D68">
        <w:rPr>
          <w:rFonts w:cs="Times New Roman"/>
          <w:szCs w:val="17"/>
        </w:rPr>
        <w:t xml:space="preserve">, </w:t>
      </w:r>
      <w:r w:rsidRPr="00CC2D68">
        <w:rPr>
          <w:rFonts w:cs="Times New Roman"/>
          <w:smallCaps/>
          <w:szCs w:val="17"/>
        </w:rPr>
        <w:t>Investopedia</w:t>
      </w:r>
      <w:r>
        <w:rPr>
          <w:rFonts w:cs="Times New Roman"/>
          <w:szCs w:val="17"/>
        </w:rPr>
        <w:t xml:space="preserve"> </w:t>
      </w:r>
      <w:r w:rsidRPr="00CC2D68">
        <w:rPr>
          <w:rFonts w:cs="Times New Roman"/>
          <w:szCs w:val="17"/>
        </w:rPr>
        <w:t>(June 27, 2021)</w:t>
      </w:r>
      <w:r>
        <w:rPr>
          <w:rFonts w:cs="Times New Roman"/>
          <w:szCs w:val="17"/>
        </w:rPr>
        <w:t>,</w:t>
      </w:r>
      <w:r w:rsidRPr="00CC2D68">
        <w:rPr>
          <w:rFonts w:cs="Times New Roman"/>
          <w:szCs w:val="17"/>
        </w:rPr>
        <w:t xml:space="preserve"> https://www.investopedia.com/terms/u/underwriting-income.asp [https://perma.cc/54Z7-KGHT].</w:t>
      </w:r>
    </w:p>
  </w:footnote>
  <w:footnote w:id="43">
    <w:p w14:paraId="2F5FC36E" w14:textId="2AD41E5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26 U.S.C</w:t>
      </w:r>
      <w:r>
        <w:rPr>
          <w:rFonts w:cs="Times New Roman"/>
          <w:szCs w:val="17"/>
        </w:rPr>
        <w:t>.</w:t>
      </w:r>
      <w:r w:rsidRPr="00CC2D68">
        <w:rPr>
          <w:rFonts w:cs="Times New Roman"/>
          <w:szCs w:val="17"/>
        </w:rPr>
        <w:t xml:space="preserve"> § 831(b).</w:t>
      </w:r>
    </w:p>
  </w:footnote>
  <w:footnote w:id="44">
    <w:p w14:paraId="07D91653" w14:textId="732AF34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Id. </w:t>
      </w:r>
      <w:r w:rsidRPr="00CC2D68">
        <w:rPr>
          <w:rFonts w:cs="Times New Roman"/>
          <w:szCs w:val="17"/>
        </w:rPr>
        <w:t>§ 831(b)(2)(A), (E); Proposed Regulations Document</w:t>
      </w:r>
      <w:r w:rsidRPr="00CC2D68">
        <w:rPr>
          <w:rFonts w:cs="Times New Roman"/>
          <w:smallCaps/>
          <w:szCs w:val="17"/>
        </w:rPr>
        <w:t xml:space="preserve">, </w:t>
      </w:r>
      <w:r w:rsidRPr="00CC2D68">
        <w:rPr>
          <w:rFonts w:cs="Times New Roman"/>
          <w:i/>
          <w:iCs/>
          <w:szCs w:val="17"/>
        </w:rPr>
        <w:t>supra</w:t>
      </w:r>
      <w:r w:rsidRPr="00CC2D68">
        <w:rPr>
          <w:rFonts w:cs="Times New Roman"/>
          <w:szCs w:val="17"/>
        </w:rPr>
        <w:t xml:space="preserve"> note 5, at 21</w:t>
      </w:r>
      <w:r>
        <w:rPr>
          <w:rFonts w:cs="Times New Roman"/>
          <w:szCs w:val="17"/>
        </w:rPr>
        <w:t>,</w:t>
      </w:r>
      <w:r w:rsidRPr="00CC2D68">
        <w:rPr>
          <w:rFonts w:cs="Times New Roman"/>
          <w:szCs w:val="17"/>
        </w:rPr>
        <w:t>554 (noting that in 2023 the deduction will rise to $2.65 million).</w:t>
      </w:r>
    </w:p>
  </w:footnote>
  <w:footnote w:id="45">
    <w:p w14:paraId="2E3A2CF2" w14:textId="59897204" w:rsidR="00C242D9" w:rsidRPr="00CC2D68" w:rsidRDefault="00C242D9" w:rsidP="007821FB">
      <w:pPr>
        <w:contextualSpacing/>
        <w:rPr>
          <w:rFonts w:cs="Times New Roman"/>
          <w:i/>
          <w:iCs/>
          <w:sz w:val="17"/>
          <w:szCs w:val="17"/>
        </w:rPr>
      </w:pPr>
      <w:r w:rsidRPr="00CC2D68">
        <w:rPr>
          <w:rStyle w:val="FootnoteReference"/>
          <w:rFonts w:cs="Times New Roman"/>
          <w:sz w:val="17"/>
          <w:szCs w:val="17"/>
          <w:vertAlign w:val="baseline"/>
        </w:rPr>
        <w:footnoteRef/>
      </w:r>
      <w:r w:rsidRPr="00CC2D68">
        <w:rPr>
          <w:rFonts w:cs="Times New Roman"/>
          <w:sz w:val="17"/>
          <w:szCs w:val="17"/>
        </w:rPr>
        <w:t>.</w:t>
      </w:r>
      <w:r w:rsidRPr="00CC2D68">
        <w:rPr>
          <w:rFonts w:cs="Times New Roman"/>
          <w:sz w:val="17"/>
          <w:szCs w:val="17"/>
        </w:rPr>
        <w:tab/>
      </w:r>
      <w:r w:rsidRPr="00CC2D68">
        <w:rPr>
          <w:rFonts w:cs="Times New Roman"/>
          <w:i/>
          <w:iCs/>
          <w:sz w:val="17"/>
          <w:szCs w:val="17"/>
        </w:rPr>
        <w:t xml:space="preserve">See </w:t>
      </w:r>
      <w:r w:rsidRPr="00CC2D68">
        <w:rPr>
          <w:rFonts w:cs="Times New Roman"/>
          <w:sz w:val="17"/>
          <w:szCs w:val="17"/>
          <w:bdr w:val="none" w:sz="0" w:space="0" w:color="auto" w:frame="1"/>
        </w:rPr>
        <w:t>Avrahami v. Comm’r</w:t>
      </w:r>
      <w:r w:rsidRPr="00CC2D68">
        <w:rPr>
          <w:sz w:val="17"/>
          <w:szCs w:val="17"/>
          <w:bdr w:val="none" w:sz="0" w:space="0" w:color="auto" w:frame="1"/>
        </w:rPr>
        <w:t xml:space="preserve">, </w:t>
      </w:r>
      <w:r w:rsidRPr="00CC2D68">
        <w:rPr>
          <w:rFonts w:cs="Times New Roman"/>
          <w:sz w:val="17"/>
          <w:szCs w:val="17"/>
        </w:rPr>
        <w:t xml:space="preserve">149 T.C. 144, 179 (2017); </w:t>
      </w:r>
      <w:r w:rsidRPr="00CC2D68">
        <w:rPr>
          <w:rFonts w:cs="Times New Roman"/>
          <w:i/>
          <w:iCs/>
          <w:sz w:val="17"/>
          <w:szCs w:val="17"/>
        </w:rPr>
        <w:t xml:space="preserve">see also </w:t>
      </w:r>
      <w:r w:rsidRPr="00CC2D68">
        <w:rPr>
          <w:rFonts w:cs="Times New Roman"/>
          <w:sz w:val="17"/>
          <w:szCs w:val="17"/>
        </w:rPr>
        <w:t>§ 831(b)(1).</w:t>
      </w:r>
    </w:p>
  </w:footnote>
  <w:footnote w:id="46">
    <w:p w14:paraId="08DAFBA3" w14:textId="2EC48A3F"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eastAsia="Times New Roman" w:cs="Times New Roman"/>
          <w:szCs w:val="17"/>
        </w:rPr>
        <w:t xml:space="preserve">Beckett G. Cantley, </w:t>
      </w:r>
      <w:r w:rsidRPr="00CC2D68">
        <w:rPr>
          <w:rFonts w:eastAsia="Times New Roman" w:cs="Times New Roman"/>
          <w:i/>
          <w:iCs/>
          <w:szCs w:val="17"/>
        </w:rPr>
        <w:t>The Forgotten Taxation Landmine: Application of the Accumulated Earnings Tax to I.R.C. § 831(b) Captive Insurance Companies</w:t>
      </w:r>
      <w:r w:rsidRPr="00CC2D68">
        <w:rPr>
          <w:rFonts w:eastAsia="Times New Roman" w:cs="Times New Roman"/>
          <w:szCs w:val="17"/>
        </w:rPr>
        <w:t xml:space="preserve">, 11 </w:t>
      </w:r>
      <w:r w:rsidRPr="00CC2D68">
        <w:rPr>
          <w:rFonts w:eastAsia="Times New Roman" w:cs="Times New Roman"/>
          <w:smallCaps/>
          <w:szCs w:val="17"/>
        </w:rPr>
        <w:t>Richmond J. Glob. L. &amp; Bus.</w:t>
      </w:r>
      <w:r w:rsidRPr="00CC2D68">
        <w:rPr>
          <w:rFonts w:eastAsia="Times New Roman" w:cs="Times New Roman"/>
          <w:szCs w:val="17"/>
        </w:rPr>
        <w:t xml:space="preserve"> 159, 162 (2012).</w:t>
      </w:r>
    </w:p>
  </w:footnote>
  <w:footnote w:id="47">
    <w:p w14:paraId="53F446C6" w14:textId="2213CAD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eastAsia="Times New Roman" w:cs="Times New Roman"/>
          <w:i/>
          <w:iCs/>
          <w:szCs w:val="17"/>
        </w:rPr>
        <w:t>Avrahami</w:t>
      </w:r>
      <w:r w:rsidRPr="00CC2D68">
        <w:rPr>
          <w:rFonts w:eastAsia="Times New Roman" w:cs="Times New Roman"/>
          <w:szCs w:val="17"/>
        </w:rPr>
        <w:t>, 149 T.C. at 174 (noting that neither the IRC nor the regulations define “insurance”).</w:t>
      </w:r>
    </w:p>
  </w:footnote>
  <w:footnote w:id="48">
    <w:p w14:paraId="5D4BFA5C" w14:textId="4FCB12D5" w:rsidR="00C242D9" w:rsidRPr="00CC2D68" w:rsidRDefault="00C242D9" w:rsidP="007821FB">
      <w:pPr>
        <w:pStyle w:val="FootnoteText"/>
        <w:rPr>
          <w:rFonts w:cs="Times New Roman"/>
          <w:i/>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177, 185; </w:t>
      </w:r>
      <w:r w:rsidRPr="00CC2D68">
        <w:rPr>
          <w:rFonts w:cs="Times New Roman"/>
          <w:i/>
          <w:iCs/>
          <w:szCs w:val="17"/>
        </w:rPr>
        <w:t xml:space="preserve">see also </w:t>
      </w:r>
      <w:r w:rsidRPr="00CC2D68">
        <w:rPr>
          <w:rFonts w:cs="Times New Roman"/>
          <w:szCs w:val="17"/>
        </w:rPr>
        <w:t xml:space="preserve">Helvering v. Le </w:t>
      </w:r>
      <w:proofErr w:type="spellStart"/>
      <w:r w:rsidRPr="00CC2D68">
        <w:rPr>
          <w:rFonts w:cs="Times New Roman"/>
          <w:szCs w:val="17"/>
        </w:rPr>
        <w:t>Gierse</w:t>
      </w:r>
      <w:proofErr w:type="spellEnd"/>
      <w:r w:rsidRPr="00CC2D68">
        <w:rPr>
          <w:rFonts w:cs="Times New Roman"/>
          <w:szCs w:val="17"/>
        </w:rPr>
        <w:t>, 312 U.S. 531, 539 (1941).</w:t>
      </w:r>
    </w:p>
  </w:footnote>
  <w:footnote w:id="49">
    <w:p w14:paraId="46D092DC" w14:textId="0142A76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Avrahami</w:t>
      </w:r>
      <w:r w:rsidRPr="00CC2D68">
        <w:rPr>
          <w:rStyle w:val="normaltextrun"/>
          <w:rFonts w:cs="Times New Roman"/>
          <w:szCs w:val="21"/>
        </w:rPr>
        <w:t>, 149 T.C. at 177 (citations omitted)</w:t>
      </w:r>
      <w:r w:rsidRPr="00CC2D68">
        <w:rPr>
          <w:rFonts w:cs="Times New Roman"/>
          <w:szCs w:val="17"/>
        </w:rPr>
        <w:t xml:space="preserve">; </w:t>
      </w:r>
      <w:r w:rsidRPr="00CC2D68">
        <w:rPr>
          <w:rStyle w:val="normaltextrun"/>
          <w:rFonts w:cs="Times New Roman"/>
          <w:i/>
          <w:iCs/>
          <w:szCs w:val="21"/>
        </w:rPr>
        <w:t>see also Helvering</w:t>
      </w:r>
      <w:r w:rsidRPr="00CC2D68">
        <w:rPr>
          <w:rStyle w:val="normaltextrun"/>
          <w:rFonts w:cs="Times New Roman"/>
          <w:szCs w:val="21"/>
        </w:rPr>
        <w:t>, 312 U.S. at 539.</w:t>
      </w:r>
    </w:p>
  </w:footnote>
  <w:footnote w:id="50">
    <w:p w14:paraId="4A9EC9ED" w14:textId="02E8EBF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szCs w:val="21"/>
        </w:rPr>
        <w:t xml:space="preserve">Drew D. Estes, </w:t>
      </w:r>
      <w:r w:rsidRPr="00CC2D68">
        <w:rPr>
          <w:rStyle w:val="normaltextrun"/>
          <w:rFonts w:cs="Times New Roman"/>
          <w:i/>
          <w:iCs/>
          <w:szCs w:val="21"/>
        </w:rPr>
        <w:t>Section 831(b) Captive Insurance Companies: Why Policymakers Have It All Wrong</w:t>
      </w:r>
      <w:r w:rsidRPr="00CC2D68">
        <w:rPr>
          <w:rStyle w:val="normaltextrun"/>
          <w:rFonts w:cs="Times New Roman"/>
          <w:szCs w:val="21"/>
        </w:rPr>
        <w:t xml:space="preserve">, 44 </w:t>
      </w:r>
      <w:r w:rsidRPr="00357836">
        <w:rPr>
          <w:rStyle w:val="normaltextrun"/>
          <w:rFonts w:cs="Times New Roman"/>
          <w:smallCaps/>
          <w:szCs w:val="21"/>
        </w:rPr>
        <w:t>Cap. U.L. Rev</w:t>
      </w:r>
      <w:r w:rsidRPr="00CC2D68">
        <w:rPr>
          <w:rStyle w:val="normaltextrun"/>
          <w:rFonts w:cs="Times New Roman"/>
          <w:szCs w:val="21"/>
        </w:rPr>
        <w:t>. 723, 727–28 (2016).</w:t>
      </w:r>
    </w:p>
  </w:footnote>
  <w:footnote w:id="51">
    <w:p w14:paraId="48B5784B" w14:textId="4AC305F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52">
    <w:p w14:paraId="74D49E00" w14:textId="33A1ED2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See </w:t>
      </w:r>
      <w:r w:rsidRPr="00CC2D68">
        <w:rPr>
          <w:rStyle w:val="normaltextrun"/>
          <w:rFonts w:cs="Times New Roman"/>
          <w:szCs w:val="21"/>
        </w:rPr>
        <w:t xml:space="preserve">discussion </w:t>
      </w:r>
      <w:r w:rsidRPr="00CC2D68">
        <w:rPr>
          <w:rStyle w:val="normaltextrun"/>
          <w:rFonts w:cs="Times New Roman"/>
          <w:i/>
          <w:iCs/>
          <w:szCs w:val="21"/>
        </w:rPr>
        <w:t xml:space="preserve">infra </w:t>
      </w:r>
      <w:r w:rsidRPr="00CC2D68">
        <w:rPr>
          <w:rStyle w:val="normaltextrun"/>
          <w:rFonts w:cs="Times New Roman"/>
          <w:szCs w:val="21"/>
        </w:rPr>
        <w:t>Section III.A.</w:t>
      </w:r>
      <w:r w:rsidRPr="00CC2D68">
        <w:rPr>
          <w:rStyle w:val="eop"/>
          <w:rFonts w:cs="Times New Roman"/>
          <w:szCs w:val="21"/>
        </w:rPr>
        <w:t> </w:t>
      </w:r>
    </w:p>
  </w:footnote>
  <w:footnote w:id="53">
    <w:p w14:paraId="1BBE4E27" w14:textId="0630288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 xml:space="preserve">Notice 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54">
    <w:p w14:paraId="6EC8F413" w14:textId="77777777" w:rsidR="00C242D9" w:rsidRPr="00CC2D68" w:rsidRDefault="00C242D9" w:rsidP="007821FB">
      <w:pPr>
        <w:pStyle w:val="FootnoteText"/>
        <w:rPr>
          <w:rFonts w:cs="Times New Roman"/>
          <w:i/>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i/>
          <w:szCs w:val="17"/>
        </w:rPr>
        <w:t>id.</w:t>
      </w:r>
    </w:p>
  </w:footnote>
  <w:footnote w:id="55">
    <w:p w14:paraId="2E4868CD" w14:textId="5606FDC9"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w:t>
      </w:r>
      <w:r w:rsidRPr="00CC2D68">
        <w:rPr>
          <w:rFonts w:cs="Times New Roman"/>
          <w:i/>
          <w:szCs w:val="17"/>
        </w:rPr>
        <w:t>d.</w:t>
      </w:r>
    </w:p>
  </w:footnote>
  <w:footnote w:id="56">
    <w:p w14:paraId="2AE94988" w14:textId="1D8D9E9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i/>
          <w:szCs w:val="17"/>
        </w:rPr>
        <w:t>.</w:t>
      </w:r>
    </w:p>
  </w:footnote>
  <w:footnote w:id="57">
    <w:p w14:paraId="52B69DB4" w14:textId="69198304" w:rsidR="00C242D9" w:rsidRPr="00CC2D68" w:rsidRDefault="00C242D9" w:rsidP="007821FB">
      <w:pPr>
        <w:pStyle w:val="FootnoteText"/>
        <w:rPr>
          <w:rFonts w:cs="Times New Roman"/>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w:t>
      </w:r>
      <w:r w:rsidRPr="00CC2D68">
        <w:rPr>
          <w:rFonts w:cs="Times New Roman"/>
          <w:i/>
          <w:szCs w:val="17"/>
        </w:rPr>
        <w:t>d.</w:t>
      </w:r>
    </w:p>
  </w:footnote>
  <w:footnote w:id="58">
    <w:p w14:paraId="42CCDE2E" w14:textId="6197C1C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infra</w:t>
      </w:r>
      <w:r w:rsidRPr="00CC2D68">
        <w:rPr>
          <w:rFonts w:cs="Times New Roman"/>
          <w:szCs w:val="17"/>
        </w:rPr>
        <w:t xml:space="preserve"> notes 60–83 and accompanying text.</w:t>
      </w:r>
    </w:p>
  </w:footnote>
  <w:footnote w:id="59">
    <w:p w14:paraId="487451BE" w14:textId="0E0130E8"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Notice 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60">
    <w:p w14:paraId="3170C75B"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i/>
          <w:szCs w:val="17"/>
        </w:rPr>
        <w:t>id.</w:t>
      </w:r>
    </w:p>
  </w:footnote>
  <w:footnote w:id="61">
    <w:p w14:paraId="4E9CC606" w14:textId="416B5C23" w:rsidR="00C242D9" w:rsidRPr="00CC2D68" w:rsidRDefault="00C242D9" w:rsidP="007821FB">
      <w:pPr>
        <w:pStyle w:val="FootnoteText"/>
        <w:rPr>
          <w:rFonts w:cs="Times New Roman"/>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w:t>
      </w:r>
      <w:r w:rsidRPr="00CC2D68">
        <w:rPr>
          <w:rFonts w:cs="Times New Roman"/>
          <w:i/>
          <w:szCs w:val="17"/>
        </w:rPr>
        <w:t>d.</w:t>
      </w:r>
    </w:p>
  </w:footnote>
  <w:footnote w:id="62">
    <w:p w14:paraId="6F65B775" w14:textId="7AA5BF2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w:t>
      </w:r>
      <w:r w:rsidRPr="00CC2D68">
        <w:rPr>
          <w:rFonts w:cs="Times New Roman"/>
          <w:i/>
          <w:szCs w:val="17"/>
        </w:rPr>
        <w:t>d.</w:t>
      </w:r>
    </w:p>
  </w:footnote>
  <w:footnote w:id="63">
    <w:p w14:paraId="2C3BF732" w14:textId="3D4E7DC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w:t>
      </w:r>
      <w:r w:rsidRPr="00CC2D68">
        <w:rPr>
          <w:rFonts w:cs="Times New Roman"/>
          <w:i/>
          <w:szCs w:val="17"/>
        </w:rPr>
        <w:t>d.</w:t>
      </w:r>
    </w:p>
  </w:footnote>
  <w:footnote w:id="64">
    <w:p w14:paraId="1386FE07" w14:textId="007C4887" w:rsidR="00C242D9" w:rsidRPr="00CC2D68" w:rsidRDefault="00C242D9" w:rsidP="007821FB">
      <w:pPr>
        <w:pStyle w:val="FootnoteText"/>
        <w:rPr>
          <w:rFonts w:cs="Times New Roman"/>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w:t>
      </w:r>
      <w:r w:rsidRPr="00CC2D68">
        <w:rPr>
          <w:rFonts w:cs="Times New Roman"/>
          <w:i/>
          <w:szCs w:val="17"/>
        </w:rPr>
        <w:t>d.</w:t>
      </w:r>
    </w:p>
  </w:footnote>
  <w:footnote w:id="65">
    <w:p w14:paraId="3CCC033F"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66">
    <w:p w14:paraId="79A56445"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67">
    <w:p w14:paraId="5904A9D8"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68">
    <w:p w14:paraId="22F4AA33"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69">
    <w:p w14:paraId="1F321B21"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70">
    <w:p w14:paraId="60478818" w14:textId="0552F6F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w:t>
      </w:r>
      <w:r w:rsidRPr="00CC2D68">
        <w:rPr>
          <w:rFonts w:eastAsia="Times New Roman" w:cs="Times New Roman"/>
          <w:szCs w:val="17"/>
        </w:rPr>
        <w:t>I.R.S. News Release IR-2016-25 (Feb. 16, 2016) (describing the characteristics of an “abusive” micro-captive insurance structure).</w:t>
      </w:r>
    </w:p>
  </w:footnote>
  <w:footnote w:id="71">
    <w:p w14:paraId="333CE905" w14:textId="368D995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Notice 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72">
    <w:p w14:paraId="42C438A9" w14:textId="4BB38D49"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w:t>
      </w:r>
    </w:p>
  </w:footnote>
  <w:footnote w:id="73">
    <w:p w14:paraId="7CBE8F0C"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74">
    <w:p w14:paraId="3582AF87" w14:textId="27390FB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75">
    <w:p w14:paraId="7194A4BB"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76">
    <w:p w14:paraId="6E80A034"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77">
    <w:p w14:paraId="578ED7E9"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78">
    <w:p w14:paraId="1DFDEA93" w14:textId="1469C45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w:t>
      </w:r>
      <w:r w:rsidRPr="00CC2D68">
        <w:rPr>
          <w:rStyle w:val="normaltextrun"/>
          <w:rFonts w:cs="Times New Roman"/>
          <w:szCs w:val="17"/>
        </w:rPr>
        <w:t>Treas. Reg. § 6707 (as amended in 1984)</w:t>
      </w:r>
      <w:r w:rsidRPr="00CC2D68">
        <w:rPr>
          <w:rFonts w:cs="Times New Roman"/>
          <w:szCs w:val="17"/>
        </w:rPr>
        <w:t xml:space="preserve">; </w:t>
      </w:r>
      <w:r w:rsidRPr="00CC2D68">
        <w:rPr>
          <w:rStyle w:val="normaltextrun"/>
          <w:rFonts w:cs="Times New Roman"/>
          <w:szCs w:val="17"/>
        </w:rPr>
        <w:t>Treas. Reg. § 301.6707-1 (2014).</w:t>
      </w:r>
    </w:p>
  </w:footnote>
  <w:footnote w:id="79">
    <w:p w14:paraId="311CD694" w14:textId="30CE9DD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szCs w:val="17"/>
        </w:rPr>
        <w:t>Treas. Reg. § 6707A(b)(2)(B) (as amended in 2004).</w:t>
      </w:r>
    </w:p>
  </w:footnote>
  <w:footnote w:id="80">
    <w:p w14:paraId="3A60C90D" w14:textId="67D519C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eastAsia="Times New Roman" w:cs="Times New Roman"/>
          <w:i/>
          <w:iCs/>
          <w:szCs w:val="17"/>
        </w:rPr>
        <w:t>Id.</w:t>
      </w:r>
      <w:r w:rsidRPr="00CC2D68">
        <w:rPr>
          <w:rFonts w:eastAsia="Times New Roman" w:cs="Times New Roman"/>
          <w:szCs w:val="17"/>
        </w:rPr>
        <w:t xml:space="preserve"> </w:t>
      </w:r>
      <w:r w:rsidRPr="00CC2D68">
        <w:rPr>
          <w:rStyle w:val="normaltextrun"/>
          <w:rFonts w:cs="Times New Roman"/>
          <w:szCs w:val="17"/>
        </w:rPr>
        <w:t>§ 6662(a)</w:t>
      </w:r>
      <w:r w:rsidRPr="00CC2D68">
        <w:rPr>
          <w:rStyle w:val="normaltextrun"/>
          <w:szCs w:val="17"/>
        </w:rPr>
        <w:t xml:space="preserve"> (as amended in 2020)</w:t>
      </w:r>
      <w:r w:rsidRPr="00CC2D68">
        <w:rPr>
          <w:rStyle w:val="normaltextrun"/>
          <w:rFonts w:cs="Times New Roman"/>
          <w:szCs w:val="17"/>
        </w:rPr>
        <w:t xml:space="preserve">. </w:t>
      </w:r>
      <w:r w:rsidRPr="00CC2D68">
        <w:rPr>
          <w:rFonts w:cs="Times New Roman"/>
          <w:szCs w:val="17"/>
        </w:rPr>
        <w:t>The accuracy related penalty must meet a certain threshold</w:t>
      </w:r>
      <w:r>
        <w:rPr>
          <w:rFonts w:cs="Times New Roman"/>
          <w:szCs w:val="17"/>
        </w:rPr>
        <w:t>,</w:t>
      </w:r>
      <w:r w:rsidRPr="00CC2D68">
        <w:rPr>
          <w:rFonts w:cs="Times New Roman"/>
          <w:szCs w:val="17"/>
        </w:rPr>
        <w:t xml:space="preserve"> such as negligence or a substantial understatement that exceeds an amount deemed substantial by the IRS. </w:t>
      </w:r>
      <w:r w:rsidRPr="00CC2D68">
        <w:rPr>
          <w:rStyle w:val="normaltextrun"/>
          <w:rFonts w:cs="Times New Roman"/>
          <w:i/>
          <w:iCs/>
          <w:szCs w:val="17"/>
        </w:rPr>
        <w:t xml:space="preserve">Id. </w:t>
      </w:r>
      <w:r w:rsidRPr="00CC2D68">
        <w:rPr>
          <w:rStyle w:val="normaltextrun"/>
          <w:rFonts w:cs="Times New Roman"/>
          <w:szCs w:val="17"/>
        </w:rPr>
        <w:t>§ 6662(b)</w:t>
      </w:r>
      <w:r w:rsidRPr="00CC2D68">
        <w:rPr>
          <w:rStyle w:val="normaltextrun"/>
          <w:szCs w:val="17"/>
        </w:rPr>
        <w:t xml:space="preserve"> (as amended in 2020)</w:t>
      </w:r>
      <w:r w:rsidRPr="00CC2D68">
        <w:rPr>
          <w:rFonts w:cs="Times New Roman"/>
          <w:szCs w:val="17"/>
        </w:rPr>
        <w:t xml:space="preserve">; </w:t>
      </w:r>
      <w:r w:rsidRPr="00CC2D68">
        <w:rPr>
          <w:rStyle w:val="normaltextrun"/>
          <w:rFonts w:cs="Times New Roman"/>
          <w:i/>
          <w:iCs/>
          <w:szCs w:val="17"/>
        </w:rPr>
        <w:t>see also</w:t>
      </w:r>
      <w:r w:rsidRPr="00CC2D68">
        <w:rPr>
          <w:rStyle w:val="normaltextrun"/>
          <w:rFonts w:cs="Times New Roman"/>
          <w:szCs w:val="17"/>
        </w:rPr>
        <w:t xml:space="preserve"> </w:t>
      </w:r>
      <w:r w:rsidRPr="00CC2D68">
        <w:rPr>
          <w:rStyle w:val="normaltextrun"/>
          <w:rFonts w:cs="Times New Roman"/>
          <w:i/>
          <w:iCs/>
          <w:szCs w:val="17"/>
        </w:rPr>
        <w:t>id.</w:t>
      </w:r>
      <w:r w:rsidRPr="00CC2D68">
        <w:rPr>
          <w:rStyle w:val="normaltextrun"/>
          <w:rFonts w:cs="Times New Roman"/>
          <w:szCs w:val="17"/>
        </w:rPr>
        <w:t xml:space="preserve"> § 6662(d)</w:t>
      </w:r>
      <w:r w:rsidRPr="00CC2D68">
        <w:rPr>
          <w:rStyle w:val="normaltextrun"/>
          <w:szCs w:val="17"/>
        </w:rPr>
        <w:t xml:space="preserve"> (as amended in 2020)</w:t>
      </w:r>
      <w:r w:rsidRPr="00CC2D68">
        <w:rPr>
          <w:rStyle w:val="normaltextrun"/>
          <w:rFonts w:cs="Times New Roman"/>
          <w:szCs w:val="17"/>
        </w:rPr>
        <w:t xml:space="preserve"> (defining substantial understatement).</w:t>
      </w:r>
    </w:p>
  </w:footnote>
  <w:footnote w:id="81">
    <w:p w14:paraId="2E0DD708" w14:textId="43CA23A8"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17"/>
        </w:rPr>
        <w:t>See id.</w:t>
      </w:r>
      <w:r w:rsidRPr="00CC2D68">
        <w:rPr>
          <w:rStyle w:val="normaltextrun"/>
          <w:rFonts w:cs="Times New Roman"/>
          <w:szCs w:val="17"/>
        </w:rPr>
        <w:t xml:space="preserve"> § 301.6707-1(a)(1)(i)</w:t>
      </w:r>
      <w:r w:rsidRPr="00CC2D68">
        <w:rPr>
          <w:rStyle w:val="normaltextrun"/>
          <w:szCs w:val="17"/>
        </w:rPr>
        <w:t xml:space="preserve"> (2014)</w:t>
      </w:r>
      <w:r w:rsidRPr="00CC2D68">
        <w:rPr>
          <w:rStyle w:val="normaltextrun"/>
          <w:rFonts w:cs="Times New Roman"/>
          <w:szCs w:val="17"/>
        </w:rPr>
        <w:t xml:space="preserve">; </w:t>
      </w:r>
      <w:r w:rsidRPr="00CC2D68">
        <w:rPr>
          <w:rStyle w:val="normaltextrun"/>
          <w:rFonts w:cs="Times New Roman"/>
          <w:i/>
          <w:iCs/>
          <w:szCs w:val="17"/>
        </w:rPr>
        <w:t xml:space="preserve">see also id. </w:t>
      </w:r>
      <w:r w:rsidRPr="00CC2D68">
        <w:rPr>
          <w:rStyle w:val="normaltextrun"/>
          <w:rFonts w:cs="Times New Roman"/>
          <w:szCs w:val="17"/>
        </w:rPr>
        <w:t>§ 6708</w:t>
      </w:r>
      <w:r w:rsidRPr="00CC2D68">
        <w:rPr>
          <w:rStyle w:val="normaltextrun"/>
          <w:szCs w:val="17"/>
        </w:rPr>
        <w:t xml:space="preserve"> (as amended in 2004)</w:t>
      </w:r>
      <w:r w:rsidRPr="00CC2D68">
        <w:rPr>
          <w:rStyle w:val="normaltextrun"/>
          <w:rFonts w:cs="Times New Roman"/>
          <w:szCs w:val="17"/>
        </w:rPr>
        <w:t>.</w:t>
      </w:r>
    </w:p>
  </w:footnote>
  <w:footnote w:id="82">
    <w:p w14:paraId="63FF298B" w14:textId="21F865E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17"/>
        </w:rPr>
        <w:t xml:space="preserve">Id. </w:t>
      </w:r>
      <w:r w:rsidRPr="00CC2D68">
        <w:rPr>
          <w:rStyle w:val="normaltextrun"/>
          <w:rFonts w:cs="Times New Roman"/>
          <w:szCs w:val="17"/>
        </w:rPr>
        <w:t>§ 301.6707-1(a)(1)(i)</w:t>
      </w:r>
      <w:r w:rsidRPr="00CC2D68">
        <w:rPr>
          <w:rStyle w:val="normaltextrun"/>
          <w:szCs w:val="17"/>
        </w:rPr>
        <w:t xml:space="preserve"> (2014)</w:t>
      </w:r>
      <w:r w:rsidRPr="00CC2D68">
        <w:rPr>
          <w:rStyle w:val="normaltextrun"/>
          <w:rFonts w:cs="Times New Roman"/>
          <w:szCs w:val="17"/>
        </w:rPr>
        <w:t xml:space="preserve">; </w:t>
      </w:r>
      <w:r w:rsidRPr="00CC2D68">
        <w:rPr>
          <w:rStyle w:val="normaltextrun"/>
          <w:rFonts w:cs="Times New Roman"/>
          <w:i/>
          <w:iCs/>
          <w:szCs w:val="17"/>
        </w:rPr>
        <w:t>see also id.</w:t>
      </w:r>
      <w:r w:rsidRPr="00CC2D68">
        <w:rPr>
          <w:rStyle w:val="normaltextrun"/>
          <w:rFonts w:cs="Times New Roman"/>
          <w:szCs w:val="17"/>
        </w:rPr>
        <w:t xml:space="preserve"> § 6111</w:t>
      </w:r>
      <w:r w:rsidRPr="00CC2D68">
        <w:rPr>
          <w:rStyle w:val="normaltextrun"/>
          <w:szCs w:val="17"/>
        </w:rPr>
        <w:t xml:space="preserve"> (as amended in 2005)</w:t>
      </w:r>
      <w:r w:rsidRPr="00CC2D68">
        <w:rPr>
          <w:rStyle w:val="normaltextrun"/>
          <w:rFonts w:cs="Times New Roman"/>
          <w:szCs w:val="17"/>
        </w:rPr>
        <w:t xml:space="preserve"> (describing information that may be required</w:t>
      </w:r>
      <w:r>
        <w:rPr>
          <w:rStyle w:val="normaltextrun"/>
          <w:rFonts w:cs="Times New Roman"/>
          <w:szCs w:val="17"/>
        </w:rPr>
        <w:t>,</w:t>
      </w:r>
      <w:r w:rsidRPr="00CC2D68">
        <w:rPr>
          <w:rStyle w:val="normaltextrun"/>
          <w:rFonts w:cs="Times New Roman"/>
          <w:szCs w:val="17"/>
        </w:rPr>
        <w:t xml:space="preserve"> such as the transaction and any tax potential benefits derived from the transaction).</w:t>
      </w:r>
    </w:p>
  </w:footnote>
  <w:footnote w:id="83">
    <w:p w14:paraId="4EE998F4" w14:textId="5D57A93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17"/>
        </w:rPr>
        <w:t xml:space="preserve">Id. </w:t>
      </w:r>
      <w:r w:rsidRPr="00CC2D68">
        <w:rPr>
          <w:rStyle w:val="normaltextrun"/>
          <w:rFonts w:cs="Times New Roman"/>
          <w:szCs w:val="17"/>
        </w:rPr>
        <w:t>§ 6708</w:t>
      </w:r>
      <w:r w:rsidRPr="00CC2D68">
        <w:rPr>
          <w:rStyle w:val="normaltextrun"/>
          <w:szCs w:val="17"/>
        </w:rPr>
        <w:t xml:space="preserve"> </w:t>
      </w:r>
      <w:r w:rsidRPr="00CC2D68">
        <w:rPr>
          <w:rFonts w:cs="Times New Roman"/>
          <w:szCs w:val="17"/>
        </w:rPr>
        <w:t>(as amended in 2004)</w:t>
      </w:r>
      <w:r w:rsidRPr="00CC2D68">
        <w:rPr>
          <w:rStyle w:val="normaltextrun"/>
          <w:rFonts w:cs="Times New Roman"/>
          <w:szCs w:val="17"/>
        </w:rPr>
        <w:t>;</w:t>
      </w:r>
      <w:r w:rsidRPr="00CC2D68">
        <w:rPr>
          <w:rFonts w:cs="Times New Roman"/>
          <w:szCs w:val="17"/>
        </w:rPr>
        <w:t xml:space="preserve"> </w:t>
      </w:r>
      <w:r w:rsidRPr="00CC2D68">
        <w:rPr>
          <w:rStyle w:val="normaltextrun"/>
          <w:rFonts w:cs="Times New Roman"/>
          <w:i/>
          <w:iCs/>
          <w:szCs w:val="17"/>
        </w:rPr>
        <w:t xml:space="preserve">see id. </w:t>
      </w:r>
      <w:r w:rsidRPr="00CC2D68">
        <w:rPr>
          <w:rStyle w:val="normaltextrun"/>
          <w:rFonts w:cs="Times New Roman"/>
          <w:szCs w:val="17"/>
        </w:rPr>
        <w:t>§ 6112</w:t>
      </w:r>
      <w:r w:rsidRPr="00CC2D68">
        <w:rPr>
          <w:rStyle w:val="normaltextrun"/>
          <w:szCs w:val="17"/>
        </w:rPr>
        <w:t xml:space="preserve"> (as amended in 2005).</w:t>
      </w:r>
    </w:p>
  </w:footnote>
  <w:footnote w:id="84">
    <w:p w14:paraId="729DB236" w14:textId="4B1EBAA8"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17"/>
        </w:rPr>
        <w:t xml:space="preserve">Id. </w:t>
      </w:r>
      <w:r w:rsidRPr="00CC2D68">
        <w:rPr>
          <w:rStyle w:val="normaltextrun"/>
          <w:rFonts w:cs="Times New Roman"/>
          <w:szCs w:val="17"/>
        </w:rPr>
        <w:t>§ 6708 (as amended in 2004).</w:t>
      </w:r>
    </w:p>
  </w:footnote>
  <w:footnote w:id="85">
    <w:p w14:paraId="26CABF33" w14:textId="6A0A82B2" w:rsidR="00C242D9" w:rsidRPr="00CC2D68" w:rsidRDefault="00C242D9" w:rsidP="007821FB">
      <w:pPr>
        <w:pStyle w:val="FootnoteText"/>
        <w:rPr>
          <w:rFonts w:cs="Times New Roman"/>
          <w:i/>
          <w:iCs/>
          <w:szCs w:val="17"/>
        </w:rPr>
      </w:pPr>
      <w:r w:rsidRPr="00CC2D68">
        <w:rPr>
          <w:rStyle w:val="FootnoteReference"/>
          <w:rFonts w:cs="Times New Roman"/>
          <w:iCs/>
          <w:sz w:val="17"/>
          <w:szCs w:val="17"/>
          <w:vertAlign w:val="baseline"/>
        </w:rPr>
        <w:footnoteRef/>
      </w:r>
      <w:r w:rsidRPr="00CC2D68">
        <w:rPr>
          <w:rFonts w:cs="Times New Roman"/>
          <w:i/>
          <w:iCs/>
          <w:szCs w:val="17"/>
        </w:rPr>
        <w:t>.</w:t>
      </w:r>
      <w:r w:rsidRPr="00CC2D68">
        <w:rPr>
          <w:rFonts w:cs="Times New Roman"/>
          <w:i/>
          <w:iCs/>
          <w:szCs w:val="17"/>
        </w:rPr>
        <w:tab/>
        <w:t xml:space="preserve">See </w:t>
      </w:r>
      <w:r w:rsidRPr="00357836">
        <w:rPr>
          <w:rFonts w:cs="Times New Roman"/>
          <w:smallCaps/>
          <w:szCs w:val="17"/>
        </w:rPr>
        <w:t>Captive Insurance Times</w:t>
      </w:r>
      <w:r w:rsidRPr="00CC2D68">
        <w:rPr>
          <w:rFonts w:cs="Times New Roman"/>
          <w:szCs w:val="17"/>
        </w:rPr>
        <w:t xml:space="preserve">, </w:t>
      </w:r>
      <w:r w:rsidRPr="00CC2D68">
        <w:rPr>
          <w:rFonts w:cs="Times New Roman"/>
          <w:i/>
          <w:iCs/>
          <w:szCs w:val="17"/>
        </w:rPr>
        <w:t xml:space="preserve">supra </w:t>
      </w:r>
      <w:r w:rsidRPr="00CC2D68">
        <w:rPr>
          <w:rFonts w:cs="Times New Roman"/>
          <w:szCs w:val="17"/>
        </w:rPr>
        <w:t>note</w:t>
      </w:r>
      <w:r>
        <w:rPr>
          <w:rFonts w:cs="Times New Roman"/>
          <w:szCs w:val="17"/>
        </w:rPr>
        <w:t xml:space="preserve"> </w:t>
      </w:r>
      <w:r>
        <w:rPr>
          <w:rFonts w:cs="Times New Roman"/>
          <w:szCs w:val="17"/>
        </w:rPr>
        <w:fldChar w:fldCharType="begin"/>
      </w:r>
      <w:r>
        <w:rPr>
          <w:rFonts w:cs="Times New Roman"/>
          <w:szCs w:val="17"/>
        </w:rPr>
        <w:instrText xml:space="preserve"> NOTEREF _Ref149038974 \h  \* MERGEFORMAT </w:instrText>
      </w:r>
      <w:r>
        <w:rPr>
          <w:rFonts w:cs="Times New Roman"/>
          <w:szCs w:val="17"/>
        </w:rPr>
      </w:r>
      <w:r>
        <w:rPr>
          <w:rFonts w:cs="Times New Roman"/>
          <w:szCs w:val="17"/>
        </w:rPr>
        <w:fldChar w:fldCharType="separate"/>
      </w:r>
      <w:r>
        <w:rPr>
          <w:rFonts w:cs="Times New Roman"/>
          <w:szCs w:val="17"/>
        </w:rPr>
        <w:t>4</w:t>
      </w:r>
      <w:r>
        <w:rPr>
          <w:rFonts w:cs="Times New Roman"/>
          <w:szCs w:val="17"/>
        </w:rPr>
        <w:fldChar w:fldCharType="end"/>
      </w:r>
      <w:r w:rsidRPr="00CC2D68">
        <w:rPr>
          <w:rFonts w:cs="Times New Roman"/>
          <w:szCs w:val="17"/>
        </w:rPr>
        <w:t>.</w:t>
      </w:r>
    </w:p>
  </w:footnote>
  <w:footnote w:id="86">
    <w:p w14:paraId="4B15CB7D" w14:textId="560FD32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87">
    <w:p w14:paraId="1E2C4A96" w14:textId="5D06739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generally</w:t>
      </w:r>
      <w:r w:rsidRPr="00CC2D68">
        <w:rPr>
          <w:rFonts w:cs="Times New Roman"/>
          <w:smallCaps/>
          <w:szCs w:val="17"/>
        </w:rPr>
        <w:t xml:space="preserve"> </w:t>
      </w:r>
      <w:r w:rsidRPr="00357836">
        <w:rPr>
          <w:rFonts w:cs="Times New Roman"/>
          <w:szCs w:val="17"/>
        </w:rPr>
        <w:t>Notice</w:t>
      </w:r>
      <w:r w:rsidRPr="00CC2D68">
        <w:rPr>
          <w:rFonts w:cs="Times New Roman"/>
          <w:smallCaps/>
          <w:szCs w:val="17"/>
        </w:rPr>
        <w:t xml:space="preserve"> </w:t>
      </w:r>
      <w:r w:rsidRPr="00CC2D68">
        <w:rPr>
          <w:rFonts w:cs="Times New Roman"/>
          <w:szCs w:val="17"/>
        </w:rPr>
        <w:t xml:space="preserve">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88">
    <w:p w14:paraId="24361D9B" w14:textId="00FB3F60" w:rsidR="00C242D9" w:rsidRPr="00CC2D68" w:rsidRDefault="00C242D9" w:rsidP="007821FB">
      <w:pPr>
        <w:pStyle w:val="FootnoteText"/>
        <w:tabs>
          <w:tab w:val="left" w:pos="3849"/>
        </w:tabs>
        <w:rPr>
          <w:rFonts w:cs="Times New Roman"/>
          <w:szCs w:val="17"/>
        </w:rPr>
      </w:pPr>
      <w:r w:rsidRPr="00CC2D68">
        <w:rPr>
          <w:rStyle w:val="FootnoteReference"/>
          <w:rFonts w:cs="Times New Roman"/>
          <w:sz w:val="17"/>
          <w:szCs w:val="17"/>
          <w:vertAlign w:val="baseline"/>
        </w:rPr>
        <w:footnoteRef/>
      </w:r>
      <w:r w:rsidRPr="00CC2D68">
        <w:rPr>
          <w:rFonts w:cs="Times New Roman"/>
          <w:szCs w:val="17"/>
        </w:rPr>
        <w:t xml:space="preserve">.   </w:t>
      </w:r>
      <w:r w:rsidRPr="00CC2D68">
        <w:rPr>
          <w:rFonts w:cs="Times New Roman"/>
          <w:i/>
          <w:iCs/>
          <w:szCs w:val="17"/>
        </w:rPr>
        <w:t>Id.</w:t>
      </w:r>
      <w:r w:rsidRPr="00CC2D68">
        <w:rPr>
          <w:rFonts w:cs="Times New Roman"/>
          <w:szCs w:val="17"/>
        </w:rPr>
        <w:t xml:space="preserve"> </w:t>
      </w:r>
    </w:p>
  </w:footnote>
  <w:footnote w:id="89">
    <w:p w14:paraId="4B1A973A"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90">
    <w:p w14:paraId="562876B1" w14:textId="314574D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w:t>
      </w:r>
      <w:r w:rsidRPr="00CC2D68">
        <w:rPr>
          <w:rStyle w:val="normaltextrun"/>
          <w:rFonts w:cs="Times New Roman"/>
          <w:i/>
          <w:iCs/>
          <w:szCs w:val="17"/>
        </w:rPr>
        <w:t xml:space="preserve">see </w:t>
      </w:r>
      <w:r w:rsidRPr="00CC2D68">
        <w:rPr>
          <w:rStyle w:val="normaltextrun"/>
          <w:rFonts w:cs="Times New Roman"/>
          <w:szCs w:val="17"/>
        </w:rPr>
        <w:t>Treas. Reg. § 6707 (as amended in 1984).</w:t>
      </w:r>
    </w:p>
  </w:footnote>
  <w:footnote w:id="91">
    <w:p w14:paraId="695E5058" w14:textId="47B0360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Notice 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92">
    <w:p w14:paraId="623D3D52" w14:textId="1071E19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iCs/>
          <w:szCs w:val="17"/>
        </w:rPr>
        <w:t xml:space="preserve">, at </w:t>
      </w:r>
      <w:r w:rsidRPr="00CC2D68">
        <w:rPr>
          <w:rFonts w:cs="Times New Roman"/>
          <w:szCs w:val="17"/>
        </w:rPr>
        <w:t>21</w:t>
      </w:r>
      <w:r>
        <w:rPr>
          <w:rFonts w:cs="Times New Roman"/>
          <w:szCs w:val="17"/>
        </w:rPr>
        <w:t>,</w:t>
      </w:r>
      <w:r w:rsidRPr="00CC2D68">
        <w:rPr>
          <w:rFonts w:cs="Times New Roman"/>
          <w:szCs w:val="17"/>
        </w:rPr>
        <w:t>552.</w:t>
      </w:r>
    </w:p>
  </w:footnote>
  <w:footnote w:id="93">
    <w:p w14:paraId="62666E92"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generally id.</w:t>
      </w:r>
    </w:p>
  </w:footnote>
  <w:footnote w:id="94">
    <w:p w14:paraId="0EACB394"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95">
    <w:p w14:paraId="1271F4C2" w14:textId="28A7C40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21</w:t>
      </w:r>
      <w:r>
        <w:rPr>
          <w:rFonts w:cs="Times New Roman"/>
          <w:szCs w:val="17"/>
        </w:rPr>
        <w:t>,</w:t>
      </w:r>
      <w:r w:rsidRPr="00CC2D68">
        <w:rPr>
          <w:rFonts w:cs="Times New Roman"/>
          <w:szCs w:val="17"/>
        </w:rPr>
        <w:t>560.</w:t>
      </w:r>
    </w:p>
  </w:footnote>
  <w:footnote w:id="96">
    <w:p w14:paraId="38C76E99"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discussion</w:t>
      </w:r>
      <w:r w:rsidRPr="00CC2D68">
        <w:rPr>
          <w:rFonts w:cs="Times New Roman"/>
          <w:i/>
          <w:iCs/>
          <w:szCs w:val="17"/>
        </w:rPr>
        <w:t xml:space="preserve"> infra </w:t>
      </w:r>
      <w:r w:rsidRPr="00CC2D68">
        <w:rPr>
          <w:rFonts w:cs="Times New Roman"/>
          <w:szCs w:val="17"/>
        </w:rPr>
        <w:t>Section III.C.</w:t>
      </w:r>
    </w:p>
  </w:footnote>
  <w:footnote w:id="97">
    <w:p w14:paraId="55EABF4B" w14:textId="03E12B9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szCs w:val="17"/>
        </w:rPr>
        <w:t xml:space="preserve">CIC Servs., LLC v. Internal Revenue Serv., 592 F. Supp. 3d 677, 681 (E.D. Tenn. 2022), </w:t>
      </w:r>
      <w:r w:rsidRPr="00CC2D68">
        <w:rPr>
          <w:rStyle w:val="normaltextrun"/>
          <w:rFonts w:cs="Times New Roman"/>
          <w:i/>
          <w:iCs/>
          <w:szCs w:val="17"/>
        </w:rPr>
        <w:t>on reconsideration</w:t>
      </w:r>
      <w:r w:rsidRPr="00CC2D68">
        <w:rPr>
          <w:rStyle w:val="normaltextrun"/>
          <w:rFonts w:cs="Times New Roman"/>
          <w:szCs w:val="17"/>
        </w:rPr>
        <w:t>, No. 3:17-CV-110, 2022 WL 2078036 (E.D. Tenn. June 2, 2022).</w:t>
      </w:r>
    </w:p>
  </w:footnote>
  <w:footnote w:id="98">
    <w:p w14:paraId="29B986AD"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99">
    <w:p w14:paraId="4D7059F0" w14:textId="6DBBC06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00">
    <w:p w14:paraId="6A3723C7" w14:textId="4F530B9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01">
    <w:p w14:paraId="60647018"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w:t>
      </w:r>
    </w:p>
  </w:footnote>
  <w:footnote w:id="102">
    <w:p w14:paraId="082D2AA7"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03">
    <w:p w14:paraId="47CA0BA7"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04">
    <w:p w14:paraId="2D2DEE58" w14:textId="01F8BC9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Id. </w:t>
      </w:r>
      <w:r w:rsidRPr="00CC2D68">
        <w:rPr>
          <w:rFonts w:cs="Times New Roman"/>
          <w:szCs w:val="17"/>
        </w:rPr>
        <w:t>at 681</w:t>
      </w:r>
      <w:r w:rsidRPr="00CC2D68">
        <w:rPr>
          <w:rFonts w:cs="Times New Roman"/>
          <w:szCs w:val="17"/>
        </w:rPr>
        <w:softHyphen/>
        <w:t>–83.</w:t>
      </w:r>
    </w:p>
  </w:footnote>
  <w:footnote w:id="105">
    <w:p w14:paraId="561D764A"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683.</w:t>
      </w:r>
    </w:p>
  </w:footnote>
  <w:footnote w:id="106">
    <w:p w14:paraId="434FEA4C" w14:textId="32B3325A" w:rsidR="00C242D9" w:rsidRPr="00CC2D68" w:rsidRDefault="00C242D9" w:rsidP="007821FB">
      <w:pPr>
        <w:pStyle w:val="FootnoteText"/>
        <w:rPr>
          <w:rFonts w:cs="Times New Roman"/>
          <w:szCs w:val="17"/>
          <w:u w:val="single"/>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07">
    <w:p w14:paraId="6BDC3149" w14:textId="263A904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08">
    <w:p w14:paraId="795BA8E3"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109">
    <w:p w14:paraId="4C6B17E8" w14:textId="3C91144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w:t>
      </w:r>
      <w:r w:rsidRPr="00CC2D68">
        <w:rPr>
          <w:rStyle w:val="normaltextrun"/>
          <w:rFonts w:cs="Times New Roman"/>
          <w:i/>
          <w:iCs/>
          <w:szCs w:val="17"/>
        </w:rPr>
        <w:t>see also</w:t>
      </w:r>
      <w:r w:rsidRPr="00CC2D68">
        <w:rPr>
          <w:rStyle w:val="normaltextrun"/>
          <w:rFonts w:cs="Times New Roman"/>
          <w:szCs w:val="17"/>
        </w:rPr>
        <w:t xml:space="preserve"> Mann Constr.</w:t>
      </w:r>
      <w:r w:rsidRPr="00CC2D68">
        <w:rPr>
          <w:rStyle w:val="normaltextrun"/>
          <w:szCs w:val="17"/>
        </w:rPr>
        <w:t>, Inc.</w:t>
      </w:r>
      <w:r w:rsidRPr="00CC2D68">
        <w:rPr>
          <w:rStyle w:val="normaltextrun"/>
          <w:rFonts w:cs="Times New Roman"/>
          <w:szCs w:val="17"/>
        </w:rPr>
        <w:t xml:space="preserve"> v. United States, 27 F.4th 1138 (6th Cir. 2022)</w:t>
      </w:r>
      <w:r w:rsidRPr="00CC2D68">
        <w:rPr>
          <w:rFonts w:cs="Times New Roman"/>
          <w:szCs w:val="17"/>
        </w:rPr>
        <w:t xml:space="preserve">. </w:t>
      </w:r>
    </w:p>
  </w:footnote>
  <w:footnote w:id="110">
    <w:p w14:paraId="4380FA78" w14:textId="5789DBC8"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Mann Constr.</w:t>
      </w:r>
      <w:r w:rsidRPr="00CC2D68">
        <w:rPr>
          <w:rStyle w:val="normaltextrun"/>
          <w:rFonts w:cs="Times New Roman"/>
          <w:szCs w:val="21"/>
        </w:rPr>
        <w:t>, 27 F.4th at 1143–44.</w:t>
      </w:r>
    </w:p>
  </w:footnote>
  <w:footnote w:id="111">
    <w:p w14:paraId="4615A99B" w14:textId="26C19620"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at 1141.</w:t>
      </w:r>
    </w:p>
  </w:footnote>
  <w:footnote w:id="112">
    <w:p w14:paraId="48187B3F" w14:textId="398F5834" w:rsidR="00C242D9" w:rsidRPr="00CC2D68" w:rsidRDefault="00C242D9" w:rsidP="007821FB">
      <w:pPr>
        <w:pStyle w:val="FootnoteText"/>
        <w:rPr>
          <w:rFonts w:cs="Times New Roman"/>
          <w:i/>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at 1143.</w:t>
      </w:r>
    </w:p>
  </w:footnote>
  <w:footnote w:id="113">
    <w:p w14:paraId="6E3CF4DA" w14:textId="53C032E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at 1143–44. </w:t>
      </w:r>
    </w:p>
  </w:footnote>
  <w:footnote w:id="114">
    <w:p w14:paraId="338A4EA6" w14:textId="5133404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CIC Services</w:t>
      </w:r>
      <w:r w:rsidRPr="00CC2D68">
        <w:rPr>
          <w:rStyle w:val="normaltextrun"/>
          <w:rFonts w:cs="Times New Roman"/>
          <w:szCs w:val="21"/>
        </w:rPr>
        <w:t>, 592</w:t>
      </w:r>
      <w:r w:rsidRPr="00CC2D68">
        <w:rPr>
          <w:rStyle w:val="normaltextrun"/>
          <w:rFonts w:cs="Times New Roman"/>
          <w:i/>
          <w:iCs/>
          <w:szCs w:val="21"/>
        </w:rPr>
        <w:t xml:space="preserve"> </w:t>
      </w:r>
      <w:r w:rsidRPr="00CC2D68">
        <w:rPr>
          <w:rStyle w:val="normaltextrun"/>
          <w:rFonts w:cs="Times New Roman"/>
          <w:szCs w:val="21"/>
        </w:rPr>
        <w:t>F. Supp. 3d at</w:t>
      </w:r>
      <w:r w:rsidRPr="00CC2D68">
        <w:rPr>
          <w:rStyle w:val="normaltextrun"/>
          <w:rFonts w:cs="Times New Roman"/>
          <w:i/>
          <w:iCs/>
          <w:szCs w:val="21"/>
        </w:rPr>
        <w:t xml:space="preserve"> </w:t>
      </w:r>
      <w:r w:rsidRPr="00CC2D68">
        <w:rPr>
          <w:rStyle w:val="normaltextrun"/>
          <w:rFonts w:cs="Times New Roman"/>
          <w:szCs w:val="21"/>
        </w:rPr>
        <w:t>683.</w:t>
      </w:r>
    </w:p>
  </w:footnote>
  <w:footnote w:id="115">
    <w:p w14:paraId="5BF80F18" w14:textId="7435126F"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16">
    <w:p w14:paraId="5667EEEC" w14:textId="40D9E5C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See </w:t>
      </w:r>
      <w:r w:rsidRPr="00CC2D68">
        <w:rPr>
          <w:rStyle w:val="normaltextrun"/>
          <w:rFonts w:cs="Times New Roman"/>
          <w:szCs w:val="21"/>
        </w:rPr>
        <w:t>5 U.S.C. § 706(2)(A).</w:t>
      </w:r>
    </w:p>
  </w:footnote>
  <w:footnote w:id="117">
    <w:p w14:paraId="6C45C074" w14:textId="14A01F7F"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CIC Servs.</w:t>
      </w:r>
      <w:r w:rsidRPr="00CC2D68">
        <w:rPr>
          <w:rStyle w:val="normaltextrun"/>
          <w:rFonts w:cs="Times New Roman"/>
          <w:szCs w:val="21"/>
        </w:rPr>
        <w:t>, 592</w:t>
      </w:r>
      <w:r w:rsidRPr="00CC2D68">
        <w:rPr>
          <w:rStyle w:val="normaltextrun"/>
          <w:rFonts w:cs="Times New Roman"/>
          <w:i/>
          <w:iCs/>
          <w:szCs w:val="21"/>
        </w:rPr>
        <w:t xml:space="preserve"> </w:t>
      </w:r>
      <w:r w:rsidRPr="00CC2D68">
        <w:rPr>
          <w:rStyle w:val="normaltextrun"/>
          <w:rFonts w:cs="Times New Roman"/>
          <w:szCs w:val="21"/>
        </w:rPr>
        <w:t>F. Supp. 3d at 684 (quoting Dep’t of Com. v. New York, 139 S. Ct. 2551, 2569 (2019)).</w:t>
      </w:r>
    </w:p>
  </w:footnote>
  <w:footnote w:id="118">
    <w:p w14:paraId="4AF5117C"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119">
    <w:p w14:paraId="36AC98BD" w14:textId="13DC027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684–85.</w:t>
      </w:r>
    </w:p>
  </w:footnote>
  <w:footnote w:id="120">
    <w:p w14:paraId="166C6A92" w14:textId="2917CF4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Id.</w:t>
      </w:r>
      <w:r w:rsidRPr="00CC2D68">
        <w:rPr>
          <w:rStyle w:val="normaltextrun"/>
          <w:rFonts w:cs="Times New Roman"/>
          <w:szCs w:val="21"/>
        </w:rPr>
        <w:t xml:space="preserve"> at 684 (quoting Atrium Med. Ctr. v. U.S. Dep’t of Health &amp; Hum. Servs., 766 F.3d 560, 567 (6th Cir. 2014)).</w:t>
      </w:r>
    </w:p>
  </w:footnote>
  <w:footnote w:id="121">
    <w:p w14:paraId="584129B2" w14:textId="1A7479F0"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(quoting </w:t>
      </w:r>
      <w:r w:rsidRPr="00CC2D68">
        <w:rPr>
          <w:rFonts w:cs="Times New Roman"/>
          <w:i/>
          <w:iCs/>
          <w:szCs w:val="17"/>
        </w:rPr>
        <w:t>Atrium Med. Ctr.</w:t>
      </w:r>
      <w:r w:rsidRPr="00CC2D68">
        <w:rPr>
          <w:rFonts w:cs="Times New Roman"/>
          <w:szCs w:val="17"/>
        </w:rPr>
        <w:t xml:space="preserve">, 766 F.3d at 567). </w:t>
      </w:r>
    </w:p>
  </w:footnote>
  <w:footnote w:id="122">
    <w:p w14:paraId="56E97684"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123">
    <w:p w14:paraId="55749286" w14:textId="56316E6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See</w:t>
      </w:r>
      <w:r w:rsidRPr="00CC2D68">
        <w:rPr>
          <w:rStyle w:val="normaltextrun"/>
          <w:rFonts w:cs="Times New Roman"/>
          <w:szCs w:val="21"/>
        </w:rPr>
        <w:t xml:space="preserve"> 26 U.S.C. § 6707A(a); </w:t>
      </w:r>
      <w:r w:rsidRPr="00CC2D68">
        <w:rPr>
          <w:rStyle w:val="normaltextrun"/>
          <w:rFonts w:cs="Times New Roman"/>
          <w:i/>
          <w:iCs/>
          <w:szCs w:val="21"/>
        </w:rPr>
        <w:t>see also</w:t>
      </w:r>
      <w:r w:rsidRPr="00CC2D68">
        <w:rPr>
          <w:rStyle w:val="normaltextrun"/>
          <w:rFonts w:cs="Times New Roman"/>
          <w:szCs w:val="21"/>
        </w:rPr>
        <w:t xml:space="preserve"> Treas. Reg. § 1.6011-4(b)(6) (as amended in 2010).</w:t>
      </w:r>
    </w:p>
  </w:footnote>
  <w:footnote w:id="124">
    <w:p w14:paraId="74260015" w14:textId="727783E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CIC Servs.</w:t>
      </w:r>
      <w:r w:rsidRPr="00CC2D68">
        <w:rPr>
          <w:rStyle w:val="normaltextrun"/>
          <w:rFonts w:cs="Times New Roman"/>
          <w:szCs w:val="21"/>
        </w:rPr>
        <w:t>, 592</w:t>
      </w:r>
      <w:r w:rsidRPr="00CC2D68">
        <w:rPr>
          <w:rStyle w:val="normaltextrun"/>
          <w:rFonts w:cs="Times New Roman"/>
          <w:i/>
          <w:iCs/>
          <w:szCs w:val="21"/>
        </w:rPr>
        <w:t xml:space="preserve"> </w:t>
      </w:r>
      <w:r w:rsidRPr="00CC2D68">
        <w:rPr>
          <w:rStyle w:val="normaltextrun"/>
          <w:rFonts w:cs="Times New Roman"/>
          <w:szCs w:val="21"/>
        </w:rPr>
        <w:t>F. Supp. 3d at</w:t>
      </w:r>
      <w:r w:rsidRPr="00CC2D68">
        <w:rPr>
          <w:rStyle w:val="normaltextrun"/>
          <w:rFonts w:cs="Times New Roman"/>
          <w:i/>
          <w:iCs/>
          <w:szCs w:val="21"/>
        </w:rPr>
        <w:t xml:space="preserve"> </w:t>
      </w:r>
      <w:r w:rsidRPr="00CC2D68">
        <w:rPr>
          <w:rStyle w:val="normaltextrun"/>
          <w:rFonts w:cs="Times New Roman"/>
          <w:szCs w:val="21"/>
        </w:rPr>
        <w:t>684–85 (quoting Dep’t of Com. v. New York, 139 S. Ct. 2551, 2569 (2019)).</w:t>
      </w:r>
    </w:p>
  </w:footnote>
  <w:footnote w:id="125">
    <w:p w14:paraId="70DE2AEC"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Id. </w:t>
      </w:r>
      <w:r w:rsidRPr="00CC2D68">
        <w:rPr>
          <w:rFonts w:cs="Times New Roman"/>
          <w:szCs w:val="17"/>
        </w:rPr>
        <w:t>at 685.</w:t>
      </w:r>
    </w:p>
  </w:footnote>
  <w:footnote w:id="126">
    <w:p w14:paraId="1621A556" w14:textId="301621D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id. </w:t>
      </w:r>
      <w:r w:rsidRPr="00CC2D68">
        <w:rPr>
          <w:rFonts w:cs="Times New Roman"/>
          <w:szCs w:val="17"/>
        </w:rPr>
        <w:t>at 685–87.</w:t>
      </w:r>
    </w:p>
  </w:footnote>
  <w:footnote w:id="127">
    <w:p w14:paraId="23D082A0"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id. </w:t>
      </w:r>
      <w:r w:rsidRPr="00CC2D68">
        <w:rPr>
          <w:rFonts w:cs="Times New Roman"/>
          <w:szCs w:val="17"/>
        </w:rPr>
        <w:t>at 685.</w:t>
      </w:r>
    </w:p>
  </w:footnote>
  <w:footnote w:id="128">
    <w:p w14:paraId="112FF850" w14:textId="0222681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Id. </w:t>
      </w:r>
      <w:r w:rsidRPr="00CC2D68">
        <w:rPr>
          <w:rStyle w:val="normaltextrun"/>
          <w:rFonts w:cs="Times New Roman"/>
          <w:szCs w:val="21"/>
        </w:rPr>
        <w:t xml:space="preserve">(quoting Notice 2016-66, </w:t>
      </w:r>
      <w:r w:rsidRPr="00CC2D68">
        <w:rPr>
          <w:rStyle w:val="normaltextrun"/>
          <w:rFonts w:cs="Times New Roman"/>
          <w:i/>
          <w:iCs/>
          <w:szCs w:val="21"/>
        </w:rPr>
        <w:t>supra</w:t>
      </w:r>
      <w:r w:rsidRPr="00CC2D68">
        <w:rPr>
          <w:rStyle w:val="normaltextrun"/>
          <w:rFonts w:cs="Times New Roman"/>
          <w:szCs w:val="21"/>
        </w:rPr>
        <w:t xml:space="preserve"> note 3)</w:t>
      </w:r>
      <w:r w:rsidRPr="00CC2D68">
        <w:rPr>
          <w:rStyle w:val="normaltextrun"/>
          <w:rFonts w:cs="Times New Roman"/>
          <w:i/>
          <w:iCs/>
          <w:szCs w:val="21"/>
        </w:rPr>
        <w:t xml:space="preserve"> </w:t>
      </w:r>
      <w:r w:rsidRPr="00CC2D68">
        <w:rPr>
          <w:rStyle w:val="normaltextrun"/>
          <w:rFonts w:cs="Times New Roman"/>
          <w:szCs w:val="21"/>
        </w:rPr>
        <w:t>(emphasis added).</w:t>
      </w:r>
    </w:p>
  </w:footnote>
  <w:footnote w:id="129">
    <w:p w14:paraId="7855D3C6" w14:textId="1637921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Id. </w:t>
      </w:r>
      <w:r w:rsidRPr="00CC2D68">
        <w:rPr>
          <w:rStyle w:val="normaltextrun"/>
          <w:rFonts w:cs="Times New Roman"/>
          <w:szCs w:val="21"/>
        </w:rPr>
        <w:t xml:space="preserve">(quoting Notice 2016-66, </w:t>
      </w:r>
      <w:r w:rsidRPr="00CC2D68">
        <w:rPr>
          <w:rStyle w:val="normaltextrun"/>
          <w:rFonts w:cs="Times New Roman"/>
          <w:i/>
          <w:iCs/>
          <w:szCs w:val="21"/>
        </w:rPr>
        <w:t>supra</w:t>
      </w:r>
      <w:r w:rsidRPr="00CC2D68">
        <w:rPr>
          <w:rStyle w:val="normaltextrun"/>
          <w:rFonts w:cs="Times New Roman"/>
          <w:szCs w:val="21"/>
        </w:rPr>
        <w:t xml:space="preserve"> note 3) (emphasis added). </w:t>
      </w:r>
      <w:r w:rsidRPr="00CC2D68">
        <w:rPr>
          <w:rStyle w:val="eop"/>
          <w:rFonts w:cs="Times New Roman"/>
          <w:szCs w:val="21"/>
        </w:rPr>
        <w:t> </w:t>
      </w:r>
    </w:p>
  </w:footnote>
  <w:footnote w:id="130">
    <w:p w14:paraId="0FAA5469" w14:textId="7D15A389"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31">
    <w:p w14:paraId="1474EED4"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32">
    <w:p w14:paraId="64FAF4B5" w14:textId="3F753AC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id. </w:t>
      </w:r>
      <w:r w:rsidRPr="00CC2D68">
        <w:rPr>
          <w:rFonts w:cs="Times New Roman"/>
          <w:szCs w:val="17"/>
        </w:rPr>
        <w:t>at 686–87.</w:t>
      </w:r>
    </w:p>
  </w:footnote>
  <w:footnote w:id="133">
    <w:p w14:paraId="0A8ABEB7" w14:textId="0330918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686. </w:t>
      </w:r>
    </w:p>
  </w:footnote>
  <w:footnote w:id="134">
    <w:p w14:paraId="07C328BB"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135">
    <w:p w14:paraId="64FE54E4"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136">
    <w:p w14:paraId="0C0B8932" w14:textId="33DC2DA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686–87.</w:t>
      </w:r>
    </w:p>
  </w:footnote>
  <w:footnote w:id="137">
    <w:p w14:paraId="319AF8E4" w14:textId="3ADD71C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at 687.</w:t>
      </w:r>
    </w:p>
  </w:footnote>
  <w:footnote w:id="138">
    <w:p w14:paraId="214AFF5F"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687–88. </w:t>
      </w:r>
    </w:p>
  </w:footnote>
  <w:footnote w:id="139">
    <w:p w14:paraId="5533B05C" w14:textId="75DE1F1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Id.</w:t>
      </w:r>
      <w:r w:rsidRPr="00CC2D68">
        <w:rPr>
          <w:rStyle w:val="normaltextrun"/>
          <w:rFonts w:cs="Times New Roman"/>
          <w:szCs w:val="21"/>
        </w:rPr>
        <w:t xml:space="preserve"> at 687 (citing 5 U.S.C. § 706(2)(A)).</w:t>
      </w:r>
    </w:p>
  </w:footnote>
  <w:footnote w:id="140">
    <w:p w14:paraId="3B0192E3" w14:textId="25F3871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See </w:t>
      </w:r>
      <w:r w:rsidRPr="00CC2D68">
        <w:rPr>
          <w:rStyle w:val="normaltextrun"/>
          <w:rFonts w:cs="Times New Roman"/>
          <w:szCs w:val="21"/>
        </w:rPr>
        <w:t>Mann Constr.,</w:t>
      </w:r>
      <w:r w:rsidRPr="00CC2D68">
        <w:rPr>
          <w:rStyle w:val="normaltextrun"/>
          <w:szCs w:val="21"/>
        </w:rPr>
        <w:t xml:space="preserve"> Inc.</w:t>
      </w:r>
      <w:r w:rsidRPr="00CC2D68">
        <w:rPr>
          <w:rStyle w:val="normaltextrun"/>
          <w:rFonts w:cs="Times New Roman"/>
          <w:szCs w:val="21"/>
        </w:rPr>
        <w:t xml:space="preserve"> v. United States, 27 F.4th 1138, 1143 (6th Cir. 2022). </w:t>
      </w:r>
      <w:r w:rsidRPr="00CC2D68">
        <w:rPr>
          <w:rStyle w:val="eop"/>
          <w:rFonts w:cs="Times New Roman"/>
          <w:szCs w:val="21"/>
        </w:rPr>
        <w:t> </w:t>
      </w:r>
    </w:p>
  </w:footnote>
  <w:footnote w:id="141">
    <w:p w14:paraId="466CE3A9" w14:textId="0C2DAC6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CIC Servs.</w:t>
      </w:r>
      <w:r w:rsidRPr="00CC2D68">
        <w:rPr>
          <w:rStyle w:val="normaltextrun"/>
          <w:rFonts w:cs="Times New Roman"/>
          <w:szCs w:val="21"/>
        </w:rPr>
        <w:t>, 592</w:t>
      </w:r>
      <w:r w:rsidRPr="00CC2D68">
        <w:rPr>
          <w:rStyle w:val="normaltextrun"/>
          <w:rFonts w:cs="Times New Roman"/>
          <w:i/>
          <w:iCs/>
          <w:szCs w:val="21"/>
        </w:rPr>
        <w:t xml:space="preserve"> </w:t>
      </w:r>
      <w:r w:rsidRPr="00CC2D68">
        <w:rPr>
          <w:rStyle w:val="normaltextrun"/>
          <w:rFonts w:cs="Times New Roman"/>
          <w:szCs w:val="21"/>
        </w:rPr>
        <w:t>F. Supp. 3d at</w:t>
      </w:r>
      <w:r w:rsidRPr="00CC2D68">
        <w:rPr>
          <w:rStyle w:val="normaltextrun"/>
          <w:rFonts w:cs="Times New Roman"/>
          <w:i/>
          <w:iCs/>
          <w:szCs w:val="21"/>
        </w:rPr>
        <w:t xml:space="preserve"> </w:t>
      </w:r>
      <w:r w:rsidRPr="00CC2D68">
        <w:rPr>
          <w:rStyle w:val="normaltextrun"/>
          <w:rFonts w:cs="Times New Roman"/>
          <w:szCs w:val="21"/>
        </w:rPr>
        <w:t>687 (quoting Allied-Signal, Inc. v. U.S. Nuclear Regul. Comm’n., 988 F.2d 146, 150 (D.C. Cir. 1993)).</w:t>
      </w:r>
    </w:p>
  </w:footnote>
  <w:footnote w:id="142">
    <w:p w14:paraId="5A669206" w14:textId="16B5126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43">
    <w:p w14:paraId="2BFCE2E5" w14:textId="52C0ED0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id. </w:t>
      </w:r>
      <w:r w:rsidRPr="00CC2D68">
        <w:rPr>
          <w:rFonts w:cs="Times New Roman"/>
          <w:szCs w:val="17"/>
        </w:rPr>
        <w:t xml:space="preserve">at 688; </w:t>
      </w:r>
      <w:r w:rsidRPr="00CC2D68">
        <w:rPr>
          <w:rStyle w:val="normaltextrun"/>
          <w:rFonts w:cs="Times New Roman"/>
          <w:i/>
          <w:iCs/>
          <w:szCs w:val="21"/>
        </w:rPr>
        <w:t>see also</w:t>
      </w:r>
      <w:r w:rsidRPr="00CC2D68">
        <w:rPr>
          <w:rStyle w:val="normaltextrun"/>
          <w:rFonts w:cs="Times New Roman"/>
          <w:szCs w:val="21"/>
        </w:rPr>
        <w:t xml:space="preserve"> CIC Servs., LLC v. Internal Revenue Serv., 925 F.3d 247, 258 (6th Cir. 2019), </w:t>
      </w:r>
      <w:proofErr w:type="spellStart"/>
      <w:r w:rsidRPr="00CC2D68">
        <w:rPr>
          <w:rStyle w:val="normaltextrun"/>
          <w:rFonts w:cs="Times New Roman"/>
          <w:i/>
          <w:iCs/>
          <w:szCs w:val="21"/>
        </w:rPr>
        <w:t>rev’d</w:t>
      </w:r>
      <w:proofErr w:type="spellEnd"/>
      <w:r w:rsidRPr="00CC2D68">
        <w:rPr>
          <w:rStyle w:val="normaltextrun"/>
          <w:rFonts w:cs="Times New Roman"/>
          <w:i/>
          <w:iCs/>
          <w:szCs w:val="21"/>
        </w:rPr>
        <w:t xml:space="preserve"> and remanded</w:t>
      </w:r>
      <w:r w:rsidRPr="00CC2D68">
        <w:rPr>
          <w:rStyle w:val="normaltextrun"/>
          <w:rFonts w:cs="Times New Roman"/>
          <w:szCs w:val="21"/>
        </w:rPr>
        <w:t>, 141 S. Ct. 1582 (2021).</w:t>
      </w:r>
    </w:p>
  </w:footnote>
  <w:footnote w:id="144">
    <w:p w14:paraId="1F99488E" w14:textId="7DDECDD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CIC Servs.</w:t>
      </w:r>
      <w:r w:rsidRPr="00CC2D68">
        <w:rPr>
          <w:rStyle w:val="normaltextrun"/>
          <w:rFonts w:cs="Times New Roman"/>
          <w:szCs w:val="21"/>
        </w:rPr>
        <w:t>, 592</w:t>
      </w:r>
      <w:r w:rsidRPr="00CC2D68">
        <w:rPr>
          <w:rStyle w:val="normaltextrun"/>
          <w:rFonts w:cs="Times New Roman"/>
          <w:i/>
          <w:iCs/>
          <w:szCs w:val="21"/>
        </w:rPr>
        <w:t xml:space="preserve"> </w:t>
      </w:r>
      <w:r w:rsidRPr="00CC2D68">
        <w:rPr>
          <w:rStyle w:val="normaltextrun"/>
          <w:rFonts w:cs="Times New Roman"/>
          <w:szCs w:val="21"/>
        </w:rPr>
        <w:t>F. Supp. 3d at</w:t>
      </w:r>
      <w:r w:rsidRPr="00CC2D68">
        <w:rPr>
          <w:rStyle w:val="normaltextrun"/>
          <w:rFonts w:cs="Times New Roman"/>
          <w:i/>
          <w:iCs/>
          <w:szCs w:val="21"/>
        </w:rPr>
        <w:t xml:space="preserve"> </w:t>
      </w:r>
      <w:r w:rsidRPr="00CC2D68">
        <w:rPr>
          <w:rStyle w:val="normaltextrun"/>
          <w:rFonts w:cs="Times New Roman"/>
          <w:szCs w:val="21"/>
        </w:rPr>
        <w:t>688.</w:t>
      </w:r>
    </w:p>
  </w:footnote>
  <w:footnote w:id="145">
    <w:p w14:paraId="56812F80" w14:textId="3D8E589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46">
    <w:p w14:paraId="35081904" w14:textId="769BEAB0"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iCs/>
          <w:szCs w:val="17"/>
        </w:rPr>
        <w:t xml:space="preserve">, at </w:t>
      </w:r>
      <w:r w:rsidRPr="00CC2D68">
        <w:rPr>
          <w:rFonts w:cs="Times New Roman"/>
          <w:szCs w:val="17"/>
        </w:rPr>
        <w:t>21</w:t>
      </w:r>
      <w:r>
        <w:rPr>
          <w:rFonts w:cs="Times New Roman"/>
          <w:szCs w:val="17"/>
        </w:rPr>
        <w:t>,</w:t>
      </w:r>
      <w:r w:rsidRPr="00CC2D68">
        <w:rPr>
          <w:rFonts w:cs="Times New Roman"/>
          <w:szCs w:val="17"/>
        </w:rPr>
        <w:t xml:space="preserve">553. </w:t>
      </w:r>
    </w:p>
  </w:footnote>
  <w:footnote w:id="147">
    <w:p w14:paraId="12B48E4A"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discussion </w:t>
      </w:r>
      <w:r w:rsidRPr="00CC2D68">
        <w:rPr>
          <w:rFonts w:cs="Times New Roman"/>
          <w:i/>
          <w:iCs/>
          <w:szCs w:val="17"/>
        </w:rPr>
        <w:t xml:space="preserve">infra </w:t>
      </w:r>
      <w:r w:rsidRPr="00CC2D68">
        <w:rPr>
          <w:rFonts w:cs="Times New Roman"/>
          <w:szCs w:val="17"/>
        </w:rPr>
        <w:t>Section IV.A.</w:t>
      </w:r>
    </w:p>
  </w:footnote>
  <w:footnote w:id="148">
    <w:p w14:paraId="33C36C93"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discussion </w:t>
      </w:r>
      <w:r w:rsidRPr="00CC2D68">
        <w:rPr>
          <w:rFonts w:cs="Times New Roman"/>
          <w:i/>
          <w:iCs/>
          <w:szCs w:val="17"/>
        </w:rPr>
        <w:t xml:space="preserve">infra </w:t>
      </w:r>
      <w:r w:rsidRPr="00CC2D68">
        <w:rPr>
          <w:rFonts w:cs="Times New Roman"/>
          <w:szCs w:val="17"/>
        </w:rPr>
        <w:t>Section IV.A.</w:t>
      </w:r>
    </w:p>
  </w:footnote>
  <w:footnote w:id="149">
    <w:p w14:paraId="6B290603" w14:textId="1BDA0BF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See </w:t>
      </w:r>
      <w:r w:rsidRPr="00CC2D68">
        <w:rPr>
          <w:rStyle w:val="normaltextrun"/>
          <w:rFonts w:cs="Times New Roman"/>
          <w:szCs w:val="21"/>
        </w:rPr>
        <w:t>Prop. Treas. Reg. § 1.6011-10(a), 88 Fed. Reg. 21</w:t>
      </w:r>
      <w:r>
        <w:rPr>
          <w:rStyle w:val="normaltextrun"/>
          <w:rFonts w:cs="Times New Roman"/>
          <w:szCs w:val="21"/>
        </w:rPr>
        <w:t>,</w:t>
      </w:r>
      <w:r w:rsidRPr="00CC2D68">
        <w:rPr>
          <w:rStyle w:val="normaltextrun"/>
          <w:rFonts w:cs="Times New Roman"/>
          <w:szCs w:val="21"/>
        </w:rPr>
        <w:t>547, 21</w:t>
      </w:r>
      <w:r>
        <w:rPr>
          <w:rStyle w:val="normaltextrun"/>
          <w:rFonts w:cs="Times New Roman"/>
          <w:szCs w:val="21"/>
        </w:rPr>
        <w:t>,</w:t>
      </w:r>
      <w:r w:rsidRPr="00CC2D68">
        <w:rPr>
          <w:rStyle w:val="normaltextrun"/>
          <w:rFonts w:cs="Times New Roman"/>
          <w:szCs w:val="21"/>
        </w:rPr>
        <w:t>561 (Apr. 11, 2023);</w:t>
      </w:r>
      <w:r w:rsidRPr="00CC2D68">
        <w:rPr>
          <w:rFonts w:cs="Times New Roman"/>
          <w:szCs w:val="17"/>
        </w:rPr>
        <w:t xml:space="preserve"> </w:t>
      </w:r>
      <w:r w:rsidRPr="00CC2D68">
        <w:rPr>
          <w:rStyle w:val="normaltextrun"/>
          <w:rFonts w:cs="Times New Roman"/>
          <w:i/>
          <w:iCs/>
          <w:szCs w:val="21"/>
        </w:rPr>
        <w:t xml:space="preserve">see also </w:t>
      </w:r>
      <w:r w:rsidRPr="00CC2D68">
        <w:rPr>
          <w:rStyle w:val="normaltextrun"/>
          <w:rFonts w:cs="Times New Roman"/>
          <w:szCs w:val="21"/>
        </w:rPr>
        <w:t>Prop. Treas. Reg. § 1.6011-11(a), 88 Fed. Reg. 21</w:t>
      </w:r>
      <w:r>
        <w:rPr>
          <w:rStyle w:val="normaltextrun"/>
          <w:rFonts w:cs="Times New Roman"/>
          <w:szCs w:val="21"/>
        </w:rPr>
        <w:t>,</w:t>
      </w:r>
      <w:r w:rsidRPr="00CC2D68">
        <w:rPr>
          <w:rStyle w:val="normaltextrun"/>
          <w:rFonts w:cs="Times New Roman"/>
          <w:szCs w:val="21"/>
        </w:rPr>
        <w:t>547, 21</w:t>
      </w:r>
      <w:r>
        <w:rPr>
          <w:rStyle w:val="normaltextrun"/>
          <w:rFonts w:cs="Times New Roman"/>
          <w:szCs w:val="21"/>
        </w:rPr>
        <w:t>,</w:t>
      </w:r>
      <w:r w:rsidRPr="00CC2D68">
        <w:rPr>
          <w:rStyle w:val="normaltextrun"/>
          <w:rFonts w:cs="Times New Roman"/>
          <w:szCs w:val="21"/>
        </w:rPr>
        <w:t>563 (Apr. 11, 2023).</w:t>
      </w:r>
    </w:p>
  </w:footnote>
  <w:footnote w:id="150">
    <w:p w14:paraId="1FD88D4A" w14:textId="21965EC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Notice</w:t>
      </w:r>
      <w:r w:rsidRPr="00CC2D68">
        <w:rPr>
          <w:rFonts w:cs="Times New Roman"/>
          <w:smallCaps/>
          <w:szCs w:val="17"/>
        </w:rPr>
        <w:t xml:space="preserve"> </w:t>
      </w:r>
      <w:r w:rsidRPr="00CC2D68">
        <w:rPr>
          <w:rFonts w:cs="Times New Roman"/>
          <w:szCs w:val="17"/>
        </w:rPr>
        <w:t xml:space="preserve">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151">
    <w:p w14:paraId="51B10E72" w14:textId="693EDA4B" w:rsidR="00C242D9" w:rsidRPr="00CC2D68" w:rsidRDefault="00C242D9" w:rsidP="007821FB">
      <w:pPr>
        <w:pStyle w:val="FootnoteText"/>
        <w:rPr>
          <w:rFonts w:cs="Times New Roman"/>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 xml:space="preserve">554. </w:t>
      </w:r>
    </w:p>
  </w:footnote>
  <w:footnote w:id="152">
    <w:p w14:paraId="10841EF5" w14:textId="38B8DDCF" w:rsidR="00C242D9" w:rsidRPr="00CC2D68" w:rsidRDefault="00C242D9" w:rsidP="007821FB">
      <w:pPr>
        <w:pStyle w:val="FootnoteText"/>
        <w:rPr>
          <w:rFonts w:cs="Times New Roman"/>
          <w:i/>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See </w:t>
      </w:r>
      <w:r w:rsidRPr="00CC2D68">
        <w:rPr>
          <w:rStyle w:val="normaltextrun"/>
          <w:rFonts w:cs="Times New Roman"/>
          <w:szCs w:val="21"/>
        </w:rPr>
        <w:t>Prop. Treas. Reg. § 1.6011-10(a), 88 Fed. Reg. 21</w:t>
      </w:r>
      <w:r>
        <w:rPr>
          <w:rStyle w:val="normaltextrun"/>
          <w:rFonts w:cs="Times New Roman"/>
          <w:szCs w:val="21"/>
        </w:rPr>
        <w:t>,</w:t>
      </w:r>
      <w:r w:rsidRPr="00CC2D68">
        <w:rPr>
          <w:rStyle w:val="normaltextrun"/>
          <w:rFonts w:cs="Times New Roman"/>
          <w:szCs w:val="21"/>
        </w:rPr>
        <w:t>547, 21</w:t>
      </w:r>
      <w:r>
        <w:rPr>
          <w:rStyle w:val="normaltextrun"/>
          <w:rFonts w:cs="Times New Roman"/>
          <w:szCs w:val="21"/>
        </w:rPr>
        <w:t>,</w:t>
      </w:r>
      <w:r w:rsidRPr="00CC2D68">
        <w:rPr>
          <w:rStyle w:val="normaltextrun"/>
          <w:rFonts w:cs="Times New Roman"/>
          <w:szCs w:val="21"/>
        </w:rPr>
        <w:t xml:space="preserve">561 (Apr. 11, 2023); </w:t>
      </w:r>
      <w:r w:rsidRPr="00CC2D68">
        <w:rPr>
          <w:rFonts w:cs="Times New Roman"/>
          <w:i/>
          <w:iCs/>
          <w:szCs w:val="17"/>
        </w:rPr>
        <w:t xml:space="preserve">see also </w:t>
      </w:r>
      <w:r w:rsidRPr="00CC2D68">
        <w:rPr>
          <w:rFonts w:cs="Times New Roman"/>
          <w:szCs w:val="17"/>
        </w:rPr>
        <w:t xml:space="preserve">Notice 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153">
    <w:p w14:paraId="37A453ED" w14:textId="294459B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See </w:t>
      </w:r>
      <w:r w:rsidRPr="00CC2D68">
        <w:rPr>
          <w:rStyle w:val="normaltextrun"/>
          <w:rFonts w:cs="Times New Roman"/>
          <w:szCs w:val="21"/>
        </w:rPr>
        <w:t>Prop. Treas. Reg. § 1.6011-10(c)(1), 88 Fed. Reg. 21</w:t>
      </w:r>
      <w:r>
        <w:rPr>
          <w:rStyle w:val="normaltextrun"/>
          <w:rFonts w:cs="Times New Roman"/>
          <w:szCs w:val="21"/>
        </w:rPr>
        <w:t>,</w:t>
      </w:r>
      <w:r w:rsidRPr="00CC2D68">
        <w:rPr>
          <w:rStyle w:val="normaltextrun"/>
          <w:rFonts w:cs="Times New Roman"/>
          <w:szCs w:val="21"/>
        </w:rPr>
        <w:t>547, 21</w:t>
      </w:r>
      <w:r>
        <w:rPr>
          <w:rStyle w:val="normaltextrun"/>
          <w:rFonts w:cs="Times New Roman"/>
          <w:szCs w:val="21"/>
        </w:rPr>
        <w:t>,</w:t>
      </w:r>
      <w:r w:rsidRPr="00CC2D68">
        <w:rPr>
          <w:rStyle w:val="normaltextrun"/>
          <w:rFonts w:cs="Times New Roman"/>
          <w:szCs w:val="21"/>
        </w:rPr>
        <w:t>562 (Apr. 11, 2023).</w:t>
      </w:r>
    </w:p>
  </w:footnote>
  <w:footnote w:id="154">
    <w:p w14:paraId="36348A68" w14:textId="501764D0"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See </w:t>
      </w:r>
      <w:r w:rsidRPr="00CC2D68">
        <w:rPr>
          <w:rStyle w:val="normaltextrun"/>
          <w:rFonts w:cs="Times New Roman"/>
          <w:szCs w:val="21"/>
        </w:rPr>
        <w:t>Prop. Treas. Reg. § 1.6011-10(c)(2), 88 Fed. Reg. 21</w:t>
      </w:r>
      <w:r>
        <w:rPr>
          <w:rStyle w:val="normaltextrun"/>
          <w:rFonts w:cs="Times New Roman"/>
          <w:szCs w:val="21"/>
        </w:rPr>
        <w:t>,</w:t>
      </w:r>
      <w:r w:rsidRPr="00CC2D68">
        <w:rPr>
          <w:rStyle w:val="normaltextrun"/>
          <w:rFonts w:cs="Times New Roman"/>
          <w:szCs w:val="21"/>
        </w:rPr>
        <w:t>547, 21</w:t>
      </w:r>
      <w:r>
        <w:rPr>
          <w:rStyle w:val="normaltextrun"/>
          <w:rFonts w:cs="Times New Roman"/>
          <w:szCs w:val="21"/>
        </w:rPr>
        <w:t>,</w:t>
      </w:r>
      <w:r w:rsidRPr="00CC2D68">
        <w:rPr>
          <w:rStyle w:val="normaltextrun"/>
          <w:rFonts w:cs="Times New Roman"/>
          <w:szCs w:val="21"/>
        </w:rPr>
        <w:t>562 (Apr. 11, 2023). </w:t>
      </w:r>
    </w:p>
  </w:footnote>
  <w:footnote w:id="155">
    <w:p w14:paraId="18AE936C" w14:textId="5339DBE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See </w:t>
      </w:r>
      <w:r w:rsidRPr="00CC2D68">
        <w:rPr>
          <w:rStyle w:val="normaltextrun"/>
          <w:rFonts w:cs="Times New Roman"/>
          <w:szCs w:val="21"/>
        </w:rPr>
        <w:t>Prop. Treas. Reg. § 1.6011-11(a), 88 Fed. Reg. 21547, 21563 (Apr. 11, 2023).</w:t>
      </w:r>
    </w:p>
  </w:footnote>
  <w:footnote w:id="156">
    <w:p w14:paraId="7C5A4F54" w14:textId="60CC22D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21"/>
        </w:rPr>
        <w:t xml:space="preserve">See </w:t>
      </w:r>
      <w:r w:rsidRPr="00CC2D68">
        <w:rPr>
          <w:rStyle w:val="normaltextrun"/>
          <w:rFonts w:cs="Times New Roman"/>
          <w:szCs w:val="21"/>
        </w:rPr>
        <w:t>Prop. Treas. Reg. § 1.6011-10(b)(1)(iii), 88 Fed. Reg. 21547, 21561 (Apr. 11, 2023);</w:t>
      </w:r>
      <w:r w:rsidRPr="00CC2D68">
        <w:rPr>
          <w:rFonts w:cs="Times New Roman"/>
          <w:szCs w:val="17"/>
        </w:rPr>
        <w:t xml:space="preserve"> </w:t>
      </w:r>
      <w:r w:rsidRPr="00CC2D68">
        <w:rPr>
          <w:rFonts w:cs="Times New Roman"/>
          <w:i/>
          <w:iCs/>
          <w:szCs w:val="17"/>
        </w:rPr>
        <w:t xml:space="preserve">see also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 xml:space="preserve">554; </w:t>
      </w:r>
      <w:r w:rsidRPr="00CC2D68">
        <w:rPr>
          <w:rStyle w:val="normaltextrun"/>
          <w:rFonts w:cs="Times New Roman"/>
          <w:szCs w:val="17"/>
        </w:rPr>
        <w:t xml:space="preserve">Trina </w:t>
      </w:r>
      <w:proofErr w:type="spellStart"/>
      <w:r w:rsidRPr="00CC2D68">
        <w:rPr>
          <w:rStyle w:val="normaltextrun"/>
          <w:rFonts w:cs="Times New Roman"/>
          <w:szCs w:val="17"/>
        </w:rPr>
        <w:t>Pinneau</w:t>
      </w:r>
      <w:proofErr w:type="spellEnd"/>
      <w:r w:rsidRPr="00CC2D68">
        <w:rPr>
          <w:rStyle w:val="normaltextrun"/>
          <w:rFonts w:cs="Times New Roman"/>
          <w:szCs w:val="17"/>
        </w:rPr>
        <w:t xml:space="preserve">, </w:t>
      </w:r>
      <w:r w:rsidRPr="00CC2D68">
        <w:rPr>
          <w:rStyle w:val="normaltextrun"/>
          <w:rFonts w:cs="Times New Roman"/>
          <w:i/>
          <w:iCs/>
          <w:szCs w:val="17"/>
        </w:rPr>
        <w:t>IRS Issues Proposed Regulations on Micro-captive Transactions</w:t>
      </w:r>
      <w:r w:rsidRPr="00CC2D68">
        <w:rPr>
          <w:rStyle w:val="normaltextrun"/>
          <w:rFonts w:cs="Times New Roman"/>
          <w:szCs w:val="17"/>
        </w:rPr>
        <w:t>, RSM (Apr. 12, 2023), https://rsmus.com/insights/tax-alerts/2023/IRS-issues-proposed-regulations-micro-captive-transactions.html [</w:t>
      </w:r>
      <w:r w:rsidRPr="00CC2D68">
        <w:rPr>
          <w:rFonts w:cs="Times New Roman"/>
          <w:szCs w:val="17"/>
        </w:rPr>
        <w:t>perma.cc/W8KM-ZJBV]</w:t>
      </w:r>
      <w:r w:rsidRPr="00CC2D68">
        <w:rPr>
          <w:rStyle w:val="normaltextrun"/>
          <w:rFonts w:cs="Times New Roman"/>
          <w:szCs w:val="17"/>
        </w:rPr>
        <w:t>.</w:t>
      </w:r>
    </w:p>
  </w:footnote>
  <w:footnote w:id="157">
    <w:p w14:paraId="2FA23317" w14:textId="1EAD42B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szCs w:val="17"/>
        </w:rPr>
        <w:t>Prop. Treas. Reg. § 1.6011-10(b)(1)(iii), 88 Fed. Reg. 21</w:t>
      </w:r>
      <w:r>
        <w:rPr>
          <w:rStyle w:val="normaltextrun"/>
          <w:rFonts w:cs="Times New Roman"/>
          <w:szCs w:val="17"/>
        </w:rPr>
        <w:t>,</w:t>
      </w:r>
      <w:r w:rsidRPr="00CC2D68">
        <w:rPr>
          <w:rStyle w:val="normaltextrun"/>
          <w:rFonts w:cs="Times New Roman"/>
          <w:szCs w:val="17"/>
        </w:rPr>
        <w:t>547, 21</w:t>
      </w:r>
      <w:r>
        <w:rPr>
          <w:rStyle w:val="normaltextrun"/>
          <w:rFonts w:cs="Times New Roman"/>
          <w:szCs w:val="17"/>
        </w:rPr>
        <w:t>,</w:t>
      </w:r>
      <w:r w:rsidRPr="00CC2D68">
        <w:rPr>
          <w:rStyle w:val="normaltextrun"/>
          <w:rFonts w:cs="Times New Roman"/>
          <w:szCs w:val="17"/>
        </w:rPr>
        <w:t xml:space="preserve">561 (Apr. 11, 2023); </w:t>
      </w:r>
      <w:r w:rsidRPr="00CC2D68">
        <w:rPr>
          <w:rFonts w:cs="Times New Roman"/>
          <w:i/>
          <w:iCs/>
          <w:szCs w:val="17"/>
        </w:rPr>
        <w:t xml:space="preserve">see </w:t>
      </w:r>
      <w:r w:rsidRPr="00CC2D68">
        <w:rPr>
          <w:rFonts w:cs="Times New Roman"/>
          <w:szCs w:val="17"/>
        </w:rPr>
        <w:t xml:space="preserve">Notice 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158">
    <w:p w14:paraId="7C8ED0A5" w14:textId="25F4794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555.</w:t>
      </w:r>
    </w:p>
  </w:footnote>
  <w:footnote w:id="159">
    <w:p w14:paraId="0DE73B3D" w14:textId="41BAF48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eastAsia="Times New Roman" w:cs="Times New Roman"/>
          <w:i/>
          <w:iCs/>
          <w:szCs w:val="17"/>
        </w:rPr>
        <w:t xml:space="preserve">See id. </w:t>
      </w:r>
      <w:r w:rsidRPr="00CC2D68">
        <w:rPr>
          <w:rStyle w:val="normaltextrun"/>
          <w:rFonts w:cs="Times New Roman"/>
          <w:szCs w:val="17"/>
        </w:rPr>
        <w:t>at 21</w:t>
      </w:r>
      <w:r>
        <w:rPr>
          <w:rStyle w:val="normaltextrun"/>
          <w:rFonts w:cs="Times New Roman"/>
          <w:szCs w:val="17"/>
        </w:rPr>
        <w:t>,</w:t>
      </w:r>
      <w:r w:rsidRPr="00CC2D68">
        <w:rPr>
          <w:rStyle w:val="normaltextrun"/>
          <w:rFonts w:cs="Times New Roman"/>
          <w:szCs w:val="17"/>
        </w:rPr>
        <w:t>556–57.</w:t>
      </w:r>
    </w:p>
  </w:footnote>
  <w:footnote w:id="160">
    <w:p w14:paraId="7AD838D9" w14:textId="180F506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szCs w:val="17"/>
        </w:rPr>
        <w:t xml:space="preserve">See </w:t>
      </w:r>
      <w:r w:rsidRPr="00CC2D68">
        <w:rPr>
          <w:rStyle w:val="normaltextrun"/>
          <w:rFonts w:cs="Times New Roman"/>
          <w:szCs w:val="17"/>
        </w:rPr>
        <w:t>Prop. Treas. Reg. § 1.6011-10(c)(1), 88 Fed. Reg. 21</w:t>
      </w:r>
      <w:r>
        <w:rPr>
          <w:rStyle w:val="normaltextrun"/>
          <w:rFonts w:cs="Times New Roman"/>
          <w:szCs w:val="17"/>
        </w:rPr>
        <w:t>,</w:t>
      </w:r>
      <w:r w:rsidRPr="00CC2D68">
        <w:rPr>
          <w:rStyle w:val="normaltextrun"/>
          <w:rFonts w:cs="Times New Roman"/>
          <w:szCs w:val="17"/>
        </w:rPr>
        <w:t>547, 21</w:t>
      </w:r>
      <w:r>
        <w:rPr>
          <w:rStyle w:val="normaltextrun"/>
          <w:rFonts w:cs="Times New Roman"/>
          <w:szCs w:val="17"/>
        </w:rPr>
        <w:t>,</w:t>
      </w:r>
      <w:r w:rsidRPr="00CC2D68">
        <w:rPr>
          <w:rStyle w:val="normaltextrun"/>
          <w:rFonts w:cs="Times New Roman"/>
          <w:szCs w:val="17"/>
        </w:rPr>
        <w:t>562 (Apr. 11, 2023).</w:t>
      </w:r>
    </w:p>
  </w:footnote>
  <w:footnote w:id="161">
    <w:p w14:paraId="5409C4AF"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162">
    <w:p w14:paraId="15CB3DFA" w14:textId="326CC4E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color w:val="000000"/>
          <w:szCs w:val="17"/>
        </w:rPr>
        <w:t>Prop. Treas. Reg. § 1.6011-10(b)(2)(i),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561 (Apr. 11, 2023).</w:t>
      </w:r>
    </w:p>
  </w:footnote>
  <w:footnote w:id="163">
    <w:p w14:paraId="31154F7A" w14:textId="1A7397C9"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557.</w:t>
      </w:r>
    </w:p>
  </w:footnote>
  <w:footnote w:id="164">
    <w:p w14:paraId="1996C2E1" w14:textId="52F62478"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i/>
          <w:iCs/>
          <w:color w:val="000000"/>
          <w:szCs w:val="17"/>
        </w:rPr>
        <w:t xml:space="preserve">See </w:t>
      </w:r>
      <w:r w:rsidRPr="00CC2D68">
        <w:rPr>
          <w:rStyle w:val="normaltextrun"/>
          <w:color w:val="000000"/>
          <w:szCs w:val="17"/>
        </w:rPr>
        <w:t>Prop. Treas. Reg. § 1.6011-10(c)(2), 88 Fed. Reg. 21</w:t>
      </w:r>
      <w:r>
        <w:rPr>
          <w:rStyle w:val="normaltextrun"/>
          <w:color w:val="000000"/>
          <w:szCs w:val="17"/>
        </w:rPr>
        <w:t>,</w:t>
      </w:r>
      <w:r w:rsidRPr="00CC2D68">
        <w:rPr>
          <w:rStyle w:val="normaltextrun"/>
          <w:color w:val="000000"/>
          <w:szCs w:val="17"/>
        </w:rPr>
        <w:t>547, 21</w:t>
      </w:r>
      <w:r>
        <w:rPr>
          <w:rStyle w:val="normaltextrun"/>
          <w:color w:val="000000"/>
          <w:szCs w:val="17"/>
        </w:rPr>
        <w:t>,</w:t>
      </w:r>
      <w:r w:rsidRPr="00CC2D68">
        <w:rPr>
          <w:rStyle w:val="normaltextrun"/>
          <w:color w:val="000000"/>
          <w:szCs w:val="17"/>
        </w:rPr>
        <w:t>562 (Apr. 11, 2023).</w:t>
      </w:r>
    </w:p>
  </w:footnote>
  <w:footnote w:id="165">
    <w:p w14:paraId="47BEF71F" w14:textId="5CC5B94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i/>
          <w:iCs/>
          <w:szCs w:val="17"/>
        </w:rPr>
        <w:t>.</w:t>
      </w:r>
      <w:r w:rsidRPr="00CC2D68">
        <w:rPr>
          <w:rFonts w:cs="Times New Roman"/>
          <w:i/>
          <w:iCs/>
          <w:szCs w:val="17"/>
        </w:rPr>
        <w:tab/>
        <w:t>Id.</w:t>
      </w:r>
    </w:p>
  </w:footnote>
  <w:footnote w:id="166">
    <w:p w14:paraId="041B41BF" w14:textId="1830BD28"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Compare</w:t>
      </w:r>
      <w:r w:rsidRPr="00CC2D68">
        <w:rPr>
          <w:rFonts w:cs="Times New Roman"/>
          <w:szCs w:val="17"/>
        </w:rPr>
        <w:t xml:space="preserve"> </w:t>
      </w:r>
      <w:r w:rsidRPr="00CC2D68">
        <w:rPr>
          <w:rFonts w:cs="Times New Roman"/>
          <w:i/>
          <w:iCs/>
          <w:szCs w:val="17"/>
        </w:rPr>
        <w:t>id.</w:t>
      </w:r>
      <w:r w:rsidRPr="00CC2D68">
        <w:rPr>
          <w:rFonts w:cs="Times New Roman"/>
          <w:szCs w:val="17"/>
        </w:rPr>
        <w:t xml:space="preserve">, </w:t>
      </w:r>
      <w:r w:rsidRPr="00CC2D68">
        <w:rPr>
          <w:rFonts w:cs="Times New Roman"/>
          <w:i/>
          <w:iCs/>
          <w:szCs w:val="17"/>
        </w:rPr>
        <w:t xml:space="preserve">with </w:t>
      </w:r>
      <w:r w:rsidRPr="00CC2D68">
        <w:rPr>
          <w:rFonts w:cs="Times New Roman"/>
          <w:szCs w:val="17"/>
        </w:rPr>
        <w:t>Notice</w:t>
      </w:r>
      <w:r w:rsidRPr="00CC2D68">
        <w:rPr>
          <w:rFonts w:cs="Times New Roman"/>
          <w:smallCaps/>
          <w:szCs w:val="17"/>
        </w:rPr>
        <w:t xml:space="preserve"> </w:t>
      </w:r>
      <w:r w:rsidRPr="00CC2D68">
        <w:rPr>
          <w:rFonts w:cs="Times New Roman"/>
          <w:szCs w:val="17"/>
        </w:rPr>
        <w:t xml:space="preserve">2016-66,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_Ref141549543 \h  \* MERGEFORMAT </w:instrText>
      </w:r>
      <w:r w:rsidRPr="00CC2D68">
        <w:rPr>
          <w:rFonts w:cs="Times New Roman"/>
          <w:szCs w:val="17"/>
        </w:rPr>
      </w:r>
      <w:r w:rsidRPr="00CC2D68">
        <w:rPr>
          <w:rFonts w:cs="Times New Roman"/>
          <w:szCs w:val="17"/>
        </w:rPr>
        <w:fldChar w:fldCharType="separate"/>
      </w:r>
      <w:r>
        <w:rPr>
          <w:rFonts w:cs="Times New Roman"/>
          <w:szCs w:val="17"/>
        </w:rPr>
        <w:t>3</w:t>
      </w:r>
      <w:r w:rsidRPr="00CC2D68">
        <w:rPr>
          <w:rFonts w:cs="Times New Roman"/>
          <w:szCs w:val="17"/>
        </w:rPr>
        <w:fldChar w:fldCharType="end"/>
      </w:r>
      <w:r w:rsidRPr="00CC2D68">
        <w:rPr>
          <w:rFonts w:cs="Times New Roman"/>
          <w:szCs w:val="17"/>
        </w:rPr>
        <w:t>.</w:t>
      </w:r>
    </w:p>
  </w:footnote>
  <w:footnote w:id="167">
    <w:p w14:paraId="24B5FBEE" w14:textId="72A1517F"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1.6011-10(b)(2)(ii),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561 (Apr. 11, 2023).</w:t>
      </w:r>
      <w:r w:rsidRPr="00CC2D68">
        <w:rPr>
          <w:rStyle w:val="eop"/>
          <w:rFonts w:cs="Times New Roman"/>
          <w:color w:val="000000"/>
          <w:szCs w:val="17"/>
        </w:rPr>
        <w:t> </w:t>
      </w:r>
    </w:p>
  </w:footnote>
  <w:footnote w:id="168">
    <w:p w14:paraId="748E8E22" w14:textId="3769C6D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557.</w:t>
      </w:r>
    </w:p>
  </w:footnote>
  <w:footnote w:id="169">
    <w:p w14:paraId="1BEFA2CB" w14:textId="4EC378C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1.6011-10(c)(2),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 (listed transactions); Prop. Treas. Reg. § 1.6011-11(c),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 (Apr. 11, 2023) (transactions of interest).</w:t>
      </w:r>
    </w:p>
  </w:footnote>
  <w:footnote w:id="170">
    <w:p w14:paraId="53450390" w14:textId="1AECEF1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557.</w:t>
      </w:r>
    </w:p>
  </w:footnote>
  <w:footnote w:id="171">
    <w:p w14:paraId="19A67F89" w14:textId="23F914E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72">
    <w:p w14:paraId="2377648B" w14:textId="092B0AE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73">
    <w:p w14:paraId="3658DDB2" w14:textId="0D29786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74">
    <w:p w14:paraId="0A3DCE28" w14:textId="5921C8DF"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75">
    <w:p w14:paraId="001A9BDE" w14:textId="2068592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eastAsia="Times New Roman" w:cs="Times New Roman"/>
          <w:i/>
          <w:iCs/>
          <w:szCs w:val="17"/>
        </w:rPr>
        <w:t xml:space="preserve">See </w:t>
      </w:r>
      <w:r w:rsidRPr="00CC2D68">
        <w:rPr>
          <w:rFonts w:eastAsia="Times New Roman" w:cs="Times New Roman"/>
          <w:szCs w:val="17"/>
        </w:rPr>
        <w:t>Prop. Treas. Reg. § 1.6011-10(d), 88 Fed. Reg. 21</w:t>
      </w:r>
      <w:r>
        <w:rPr>
          <w:rFonts w:eastAsia="Times New Roman" w:cs="Times New Roman"/>
          <w:szCs w:val="17"/>
        </w:rPr>
        <w:t>,</w:t>
      </w:r>
      <w:r w:rsidRPr="00CC2D68">
        <w:rPr>
          <w:rFonts w:eastAsia="Times New Roman" w:cs="Times New Roman"/>
          <w:szCs w:val="17"/>
        </w:rPr>
        <w:t>547, 21</w:t>
      </w:r>
      <w:r>
        <w:rPr>
          <w:rFonts w:eastAsia="Times New Roman" w:cs="Times New Roman"/>
          <w:szCs w:val="17"/>
        </w:rPr>
        <w:t>,</w:t>
      </w:r>
      <w:r w:rsidRPr="00CC2D68">
        <w:rPr>
          <w:rFonts w:eastAsia="Times New Roman" w:cs="Times New Roman"/>
          <w:szCs w:val="17"/>
        </w:rPr>
        <w:t>562 (Apr. 11, 2023).</w:t>
      </w:r>
    </w:p>
  </w:footnote>
  <w:footnote w:id="176">
    <w:p w14:paraId="17DA4421" w14:textId="5145FBB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1.6011-10(d)(2),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w:t>
      </w:r>
    </w:p>
  </w:footnote>
  <w:footnote w:id="177">
    <w:p w14:paraId="2B746D79" w14:textId="549CDCE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1.6011-10(d)(1),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w:t>
      </w:r>
    </w:p>
  </w:footnote>
  <w:footnote w:id="178">
    <w:p w14:paraId="2C9887BE" w14:textId="0FCC1BBF" w:rsidR="00C242D9" w:rsidRPr="00CC2D68" w:rsidRDefault="00C242D9" w:rsidP="007821FB">
      <w:pPr>
        <w:pStyle w:val="FootnoteText"/>
        <w:rPr>
          <w:rFonts w:cs="Times New Roman"/>
          <w:i/>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1.6011-11(d)(1)</w:t>
      </w:r>
      <w:proofErr w:type="gramStart"/>
      <w:r w:rsidRPr="00CC2D68">
        <w:rPr>
          <w:rStyle w:val="normaltextrun"/>
          <w:rFonts w:cs="Times New Roman"/>
          <w:color w:val="000000"/>
          <w:szCs w:val="17"/>
        </w:rPr>
        <w:t>–(</w:t>
      </w:r>
      <w:proofErr w:type="gramEnd"/>
      <w:r w:rsidRPr="00CC2D68">
        <w:rPr>
          <w:rStyle w:val="normaltextrun"/>
          <w:rFonts w:cs="Times New Roman"/>
          <w:color w:val="000000"/>
          <w:szCs w:val="17"/>
        </w:rPr>
        <w:t>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 (Apr. 11, 2023).</w:t>
      </w:r>
    </w:p>
  </w:footnote>
  <w:footnote w:id="179">
    <w:p w14:paraId="729C4655" w14:textId="3526C1C0" w:rsidR="00C242D9" w:rsidRPr="00CC2D68" w:rsidRDefault="00C242D9" w:rsidP="007821FB">
      <w:pPr>
        <w:textAlignment w:val="baseline"/>
        <w:rPr>
          <w:rFonts w:eastAsia="Times New Roman" w:cs="Times New Roman"/>
          <w:sz w:val="17"/>
          <w:szCs w:val="17"/>
        </w:rPr>
      </w:pPr>
      <w:r w:rsidRPr="00CC2D68">
        <w:rPr>
          <w:rStyle w:val="FootnoteReference"/>
          <w:rFonts w:cs="Times New Roman"/>
          <w:sz w:val="17"/>
          <w:szCs w:val="17"/>
          <w:vertAlign w:val="baseline"/>
        </w:rPr>
        <w:footnoteRef/>
      </w:r>
      <w:r w:rsidRPr="00CC2D68">
        <w:rPr>
          <w:rFonts w:cs="Times New Roman"/>
          <w:sz w:val="17"/>
          <w:szCs w:val="17"/>
        </w:rPr>
        <w:t>.</w:t>
      </w:r>
      <w:r w:rsidRPr="00CC2D68">
        <w:rPr>
          <w:rFonts w:cs="Times New Roman"/>
          <w:sz w:val="17"/>
          <w:szCs w:val="17"/>
        </w:rPr>
        <w:tab/>
      </w:r>
      <w:r w:rsidRPr="00CC2D68">
        <w:rPr>
          <w:rFonts w:eastAsia="Times New Roman" w:cs="Times New Roman"/>
          <w:i/>
          <w:iCs/>
          <w:sz w:val="17"/>
          <w:szCs w:val="17"/>
        </w:rPr>
        <w:t xml:space="preserve">See </w:t>
      </w:r>
      <w:r w:rsidRPr="00CC2D68">
        <w:rPr>
          <w:rFonts w:eastAsia="Times New Roman" w:cs="Times New Roman"/>
          <w:sz w:val="17"/>
          <w:szCs w:val="17"/>
        </w:rPr>
        <w:t>Prop. Treas. Reg. § 1.6011-11(a), 88 Fed. Reg. 21</w:t>
      </w:r>
      <w:r>
        <w:rPr>
          <w:rFonts w:eastAsia="Times New Roman" w:cs="Times New Roman"/>
          <w:sz w:val="17"/>
          <w:szCs w:val="17"/>
        </w:rPr>
        <w:t>,</w:t>
      </w:r>
      <w:r w:rsidRPr="00CC2D68">
        <w:rPr>
          <w:rFonts w:eastAsia="Times New Roman" w:cs="Times New Roman"/>
          <w:sz w:val="17"/>
          <w:szCs w:val="17"/>
        </w:rPr>
        <w:t>547, 21</w:t>
      </w:r>
      <w:r>
        <w:rPr>
          <w:rFonts w:eastAsia="Times New Roman" w:cs="Times New Roman"/>
          <w:sz w:val="17"/>
          <w:szCs w:val="17"/>
        </w:rPr>
        <w:t>,</w:t>
      </w:r>
      <w:r w:rsidRPr="00CC2D68">
        <w:rPr>
          <w:rFonts w:eastAsia="Times New Roman" w:cs="Times New Roman"/>
          <w:sz w:val="17"/>
          <w:szCs w:val="17"/>
        </w:rPr>
        <w:t>563 (Apr. 11, 2023).</w:t>
      </w:r>
    </w:p>
  </w:footnote>
  <w:footnote w:id="180">
    <w:p w14:paraId="70432190" w14:textId="751D235F"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1.6011-11(c),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 (Apr. 11, 2023).</w:t>
      </w:r>
    </w:p>
  </w:footnote>
  <w:footnote w:id="181">
    <w:p w14:paraId="5A6B86B9" w14:textId="3C2F473F"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color w:val="000000"/>
          <w:szCs w:val="17"/>
        </w:rPr>
        <w:t>Prop. Treas. Reg. § 1.6011-11(b)(2),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 (Apr. 11, 2023).</w:t>
      </w:r>
    </w:p>
  </w:footnote>
  <w:footnote w:id="182">
    <w:p w14:paraId="6A1C5952" w14:textId="16224FB8"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 xml:space="preserve">558. </w:t>
      </w:r>
    </w:p>
  </w:footnote>
  <w:footnote w:id="183">
    <w:p w14:paraId="5C9B9121" w14:textId="7AE0BB6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§1.6011-11(d)(1)</w:t>
      </w:r>
      <w:proofErr w:type="gramStart"/>
      <w:r w:rsidRPr="00CC2D68">
        <w:rPr>
          <w:rStyle w:val="normaltextrun"/>
          <w:rFonts w:cs="Times New Roman"/>
          <w:color w:val="000000"/>
          <w:szCs w:val="17"/>
        </w:rPr>
        <w:t>–(</w:t>
      </w:r>
      <w:proofErr w:type="gramEnd"/>
      <w:r w:rsidRPr="00CC2D68">
        <w:rPr>
          <w:rStyle w:val="normaltextrun"/>
          <w:rFonts w:cs="Times New Roman"/>
          <w:color w:val="000000"/>
          <w:szCs w:val="17"/>
        </w:rPr>
        <w:t>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 (Apr. 11, 2023) (transactions of interest);</w:t>
      </w:r>
      <w:r w:rsidRPr="00CC2D68">
        <w:rPr>
          <w:rFonts w:cs="Times New Roman"/>
          <w:szCs w:val="17"/>
        </w:rPr>
        <w:t xml:space="preserve"> </w:t>
      </w:r>
      <w:r w:rsidRPr="00CC2D68">
        <w:rPr>
          <w:rStyle w:val="normaltextrun"/>
          <w:rFonts w:cs="Times New Roman"/>
          <w:color w:val="000000"/>
          <w:szCs w:val="17"/>
        </w:rPr>
        <w:t>Prop. Treas. Reg. § 1.6011–10(d),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 (listed transactions).</w:t>
      </w:r>
    </w:p>
  </w:footnote>
  <w:footnote w:id="184">
    <w:p w14:paraId="571B7FDF" w14:textId="1BB3A184"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1.6011-11(d)(3),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 (Apr. 11, 2023).</w:t>
      </w:r>
    </w:p>
  </w:footnote>
  <w:footnote w:id="185">
    <w:p w14:paraId="55056288" w14:textId="1C5E2E10"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556.</w:t>
      </w:r>
    </w:p>
  </w:footnote>
  <w:footnote w:id="186">
    <w:p w14:paraId="4AA1D10D" w14:textId="0E92BCB9"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1.6011-11(f),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564 (Apr. 11, 2023) (transactions of interest); Prop. Treas. Reg. §1.6011-10(f),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 (listed transactions).</w:t>
      </w:r>
    </w:p>
  </w:footnote>
  <w:footnote w:id="187">
    <w:p w14:paraId="3CDDAACD" w14:textId="4F93802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21558.</w:t>
      </w:r>
    </w:p>
  </w:footnote>
  <w:footnote w:id="188">
    <w:p w14:paraId="1EEE5477" w14:textId="5E00E92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89">
    <w:p w14:paraId="382B127A" w14:textId="356D87B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190">
    <w:p w14:paraId="6770A377" w14:textId="60C7B66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1.6011-10(e)(2),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 (listed transactions);</w:t>
      </w:r>
      <w:r w:rsidRPr="00CC2D68">
        <w:rPr>
          <w:rFonts w:cs="Times New Roman"/>
          <w:szCs w:val="17"/>
        </w:rPr>
        <w:t xml:space="preserve"> </w:t>
      </w:r>
      <w:r w:rsidRPr="00CC2D68">
        <w:rPr>
          <w:rStyle w:val="normaltextrun"/>
          <w:rFonts w:cs="Times New Roman"/>
          <w:color w:val="000000"/>
          <w:szCs w:val="17"/>
        </w:rPr>
        <w:t>Prop. Treas. Reg. § 1.6011-11(e)(2),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563–64 (Apr. 11, 2023) (transactions of interest).</w:t>
      </w:r>
    </w:p>
  </w:footnote>
  <w:footnote w:id="191">
    <w:p w14:paraId="673C0191" w14:textId="12990C0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1.6011-10(e)(2),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 (listed transactions);</w:t>
      </w:r>
      <w:r w:rsidRPr="00CC2D68">
        <w:rPr>
          <w:rFonts w:cs="Times New Roman"/>
          <w:szCs w:val="17"/>
        </w:rPr>
        <w:t xml:space="preserve"> </w:t>
      </w:r>
      <w:r w:rsidRPr="00CC2D68">
        <w:rPr>
          <w:rStyle w:val="normaltextrun"/>
          <w:rFonts w:cs="Times New Roman"/>
          <w:color w:val="000000"/>
          <w:szCs w:val="17"/>
        </w:rPr>
        <w:t>Prop. Treas. Reg. § 1.6011-11(e)(2),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563–64 (Apr. 11, 2023) (transactions of interest).</w:t>
      </w:r>
    </w:p>
  </w:footnote>
  <w:footnote w:id="192">
    <w:p w14:paraId="041502C1" w14:textId="3FA01558" w:rsidR="00C242D9" w:rsidRPr="00CC2D68" w:rsidRDefault="00C242D9" w:rsidP="007821FB">
      <w:pPr>
        <w:pStyle w:val="FootnoteText"/>
        <w:rPr>
          <w:rFonts w:cs="Times New Roman"/>
          <w:i/>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1.6011-10(e)(2),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 (listed transactions);</w:t>
      </w:r>
      <w:r w:rsidRPr="00CC2D68">
        <w:rPr>
          <w:rFonts w:cs="Times New Roman"/>
          <w:szCs w:val="17"/>
        </w:rPr>
        <w:t xml:space="preserve"> </w:t>
      </w:r>
      <w:r w:rsidRPr="00CC2D68">
        <w:rPr>
          <w:rStyle w:val="normaltextrun"/>
          <w:rFonts w:cs="Times New Roman"/>
          <w:color w:val="000000"/>
          <w:szCs w:val="17"/>
        </w:rPr>
        <w:t>Prop. Treas. Reg. § 1.6011-11(e)(2),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563–64 (Apr. 11, 2023) (transactions of interest).</w:t>
      </w:r>
    </w:p>
  </w:footnote>
  <w:footnote w:id="193">
    <w:p w14:paraId="351748E2" w14:textId="63F14E9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1.6011-10(e)(2),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 (listed transactions);</w:t>
      </w:r>
      <w:r w:rsidRPr="00CC2D68">
        <w:rPr>
          <w:rFonts w:cs="Times New Roman"/>
          <w:szCs w:val="17"/>
        </w:rPr>
        <w:t xml:space="preserve"> </w:t>
      </w:r>
      <w:r w:rsidRPr="00CC2D68">
        <w:rPr>
          <w:rStyle w:val="normaltextrun"/>
          <w:rFonts w:cs="Times New Roman"/>
          <w:color w:val="000000"/>
          <w:szCs w:val="17"/>
        </w:rPr>
        <w:t>Prop. Treas. Reg. § 1.6011-11(e)(2),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563–64 (Apr. 11, 2023) (transactions of interest).</w:t>
      </w:r>
    </w:p>
  </w:footnote>
  <w:footnote w:id="194">
    <w:p w14:paraId="5953C45E" w14:textId="462F1A82" w:rsidR="00C242D9" w:rsidRPr="00CC2D68" w:rsidRDefault="00C242D9" w:rsidP="007821FB">
      <w:pPr>
        <w:pStyle w:val="FootnoteText"/>
        <w:rPr>
          <w:rFonts w:cs="Times New Roman"/>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Style w:val="normaltextrun"/>
          <w:rFonts w:cs="Times New Roman"/>
          <w:i/>
          <w:iCs/>
          <w:color w:val="000000"/>
          <w:szCs w:val="17"/>
        </w:rPr>
        <w:t xml:space="preserve">See </w:t>
      </w:r>
      <w:r w:rsidRPr="00CC2D68">
        <w:rPr>
          <w:rStyle w:val="normaltextrun"/>
          <w:rFonts w:cs="Times New Roman"/>
          <w:color w:val="000000"/>
          <w:szCs w:val="17"/>
        </w:rPr>
        <w:t>Prop. Treas. Reg. § 1.6011-10(e)(2),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562 (Apr. 11, 2023) (listed transactions); Prop. Treas. Reg. § 1.6011-11(e)(2), 88 Fed. Reg. 21</w:t>
      </w:r>
      <w:r>
        <w:rPr>
          <w:rStyle w:val="normaltextrun"/>
          <w:rFonts w:cs="Times New Roman"/>
          <w:color w:val="000000"/>
          <w:szCs w:val="17"/>
        </w:rPr>
        <w:t>,</w:t>
      </w:r>
      <w:r w:rsidRPr="00CC2D68">
        <w:rPr>
          <w:rStyle w:val="normaltextrun"/>
          <w:rFonts w:cs="Times New Roman"/>
          <w:color w:val="000000"/>
          <w:szCs w:val="17"/>
        </w:rPr>
        <w:t>547, 21</w:t>
      </w:r>
      <w:r>
        <w:rPr>
          <w:rStyle w:val="normaltextrun"/>
          <w:rFonts w:cs="Times New Roman"/>
          <w:color w:val="000000"/>
          <w:szCs w:val="17"/>
        </w:rPr>
        <w:t>,</w:t>
      </w:r>
      <w:r w:rsidRPr="00CC2D68">
        <w:rPr>
          <w:rStyle w:val="normaltextrun"/>
          <w:rFonts w:cs="Times New Roman"/>
          <w:color w:val="000000"/>
          <w:szCs w:val="17"/>
        </w:rPr>
        <w:t>563–64 (Apr. 11, 2023) (transactions of interest).</w:t>
      </w:r>
      <w:r w:rsidRPr="00CC2D68">
        <w:rPr>
          <w:rStyle w:val="eop"/>
          <w:rFonts w:cs="Times New Roman"/>
          <w:color w:val="000000"/>
          <w:szCs w:val="17"/>
        </w:rPr>
        <w:t> </w:t>
      </w:r>
    </w:p>
  </w:footnote>
  <w:footnote w:id="195">
    <w:p w14:paraId="7DA121D0" w14:textId="01D08309"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szCs w:val="17"/>
        </w:rPr>
        <w:fldChar w:fldCharType="begin"/>
      </w:r>
      <w:r w:rsidRPr="00CC2D68">
        <w:rPr>
          <w:rFonts w:cs="Times New Roman"/>
          <w:szCs w:val="17"/>
        </w:rPr>
        <w:instrText xml:space="preserve"> NOTEREF _Ref141549575 \h  \* MERGEFORMAT </w:instrText>
      </w:r>
      <w:r w:rsidRPr="00CC2D68">
        <w:rPr>
          <w:rFonts w:cs="Times New Roman"/>
          <w:szCs w:val="17"/>
        </w:rPr>
      </w:r>
      <w:r w:rsidRPr="00CC2D68">
        <w:rPr>
          <w:rFonts w:cs="Times New Roman"/>
          <w:szCs w:val="17"/>
        </w:rPr>
        <w:fldChar w:fldCharType="separate"/>
      </w:r>
      <w:r>
        <w:rPr>
          <w:rFonts w:cs="Times New Roman"/>
          <w:szCs w:val="17"/>
        </w:rPr>
        <w:t>5</w:t>
      </w:r>
      <w:r w:rsidRPr="00CC2D68">
        <w:rPr>
          <w:rFonts w:cs="Times New Roman"/>
          <w:szCs w:val="17"/>
        </w:rPr>
        <w:fldChar w:fldCharType="end"/>
      </w:r>
      <w:r w:rsidRPr="00CC2D68">
        <w:rPr>
          <w:rFonts w:cs="Times New Roman"/>
          <w:szCs w:val="17"/>
        </w:rPr>
        <w:t>, at 21</w:t>
      </w:r>
      <w:r>
        <w:rPr>
          <w:rFonts w:cs="Times New Roman"/>
          <w:szCs w:val="17"/>
        </w:rPr>
        <w:t>,</w:t>
      </w:r>
      <w:r w:rsidRPr="00CC2D68">
        <w:rPr>
          <w:rFonts w:cs="Times New Roman"/>
          <w:szCs w:val="17"/>
        </w:rPr>
        <w:t xml:space="preserve">559. </w:t>
      </w:r>
    </w:p>
  </w:footnote>
  <w:footnote w:id="196">
    <w:p w14:paraId="299B1656" w14:textId="0211A15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generally</w:t>
      </w:r>
      <w:r w:rsidRPr="00CC2D68">
        <w:rPr>
          <w:rFonts w:cs="Times New Roman"/>
          <w:szCs w:val="17"/>
        </w:rPr>
        <w:t xml:space="preserve"> Treas. Reg. §§ 6700–6701 (as amended in 2018).</w:t>
      </w:r>
    </w:p>
  </w:footnote>
  <w:footnote w:id="197">
    <w:p w14:paraId="3DB498C4" w14:textId="0013E2B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generally id. </w:t>
      </w:r>
      <w:r w:rsidRPr="00CC2D68">
        <w:rPr>
          <w:rFonts w:cs="Times New Roman"/>
          <w:szCs w:val="17"/>
        </w:rPr>
        <w:t>§ 6501(c)(10) (as amended in 2022).</w:t>
      </w:r>
    </w:p>
  </w:footnote>
  <w:footnote w:id="198">
    <w:p w14:paraId="54556188" w14:textId="20769CAF"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szCs w:val="17"/>
        </w:rPr>
        <w:fldChar w:fldCharType="begin"/>
      </w:r>
      <w:r w:rsidRPr="00CC2D68">
        <w:rPr>
          <w:rFonts w:cs="Times New Roman"/>
          <w:szCs w:val="17"/>
        </w:rPr>
        <w:instrText xml:space="preserve"> NOTEREF _Ref141549575 \h  \* MERGEFORMAT </w:instrText>
      </w:r>
      <w:r w:rsidRPr="00CC2D68">
        <w:rPr>
          <w:rFonts w:cs="Times New Roman"/>
          <w:szCs w:val="17"/>
        </w:rPr>
      </w:r>
      <w:r w:rsidRPr="00CC2D68">
        <w:rPr>
          <w:rFonts w:cs="Times New Roman"/>
          <w:szCs w:val="17"/>
        </w:rPr>
        <w:fldChar w:fldCharType="separate"/>
      </w:r>
      <w:r>
        <w:rPr>
          <w:rFonts w:cs="Times New Roman"/>
          <w:szCs w:val="17"/>
        </w:rPr>
        <w:t>5</w:t>
      </w:r>
      <w:r w:rsidRPr="00CC2D68">
        <w:rPr>
          <w:rFonts w:cs="Times New Roman"/>
          <w:szCs w:val="17"/>
        </w:rPr>
        <w:fldChar w:fldCharType="end"/>
      </w:r>
      <w:r w:rsidRPr="00CC2D68">
        <w:rPr>
          <w:rFonts w:cs="Times New Roman"/>
          <w:szCs w:val="17"/>
        </w:rPr>
        <w:t>, at 21</w:t>
      </w:r>
      <w:r>
        <w:rPr>
          <w:rFonts w:cs="Times New Roman"/>
          <w:szCs w:val="17"/>
        </w:rPr>
        <w:t>,</w:t>
      </w:r>
      <w:r w:rsidRPr="00CC2D68">
        <w:rPr>
          <w:rFonts w:cs="Times New Roman"/>
          <w:szCs w:val="17"/>
        </w:rPr>
        <w:t>550.</w:t>
      </w:r>
    </w:p>
  </w:footnote>
  <w:footnote w:id="199">
    <w:p w14:paraId="6A8B7F70" w14:textId="19A7EF3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Treas. Reg. § 6707A(b)(2)(A) (as amended in 2010).</w:t>
      </w:r>
    </w:p>
  </w:footnote>
  <w:footnote w:id="200">
    <w:p w14:paraId="04A4CE26" w14:textId="3BE02A63"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6662(a) (as amended in 2020).</w:t>
      </w:r>
    </w:p>
  </w:footnote>
  <w:footnote w:id="201">
    <w:p w14:paraId="41852ED8"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202">
    <w:p w14:paraId="2D62E04C" w14:textId="3273B079"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559.</w:t>
      </w:r>
    </w:p>
  </w:footnote>
  <w:footnote w:id="203">
    <w:p w14:paraId="4543968E" w14:textId="5003B54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Treas. Reg. § 6707(b)(2) (as amended in 2004).</w:t>
      </w:r>
    </w:p>
  </w:footnote>
  <w:footnote w:id="204">
    <w:p w14:paraId="4CF3A259" w14:textId="1526929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6708 (as amended in 2004); </w:t>
      </w:r>
      <w:r w:rsidRPr="00CC2D68">
        <w:rPr>
          <w:rFonts w:cs="Times New Roman"/>
          <w:i/>
          <w:iCs/>
          <w:szCs w:val="17"/>
        </w:rPr>
        <w:t xml:space="preserve">see generally id. </w:t>
      </w:r>
      <w:r w:rsidRPr="00CC2D68">
        <w:rPr>
          <w:rFonts w:cs="Times New Roman"/>
          <w:szCs w:val="17"/>
        </w:rPr>
        <w:t>§ 6112 (as amended in 2005).</w:t>
      </w:r>
    </w:p>
  </w:footnote>
  <w:footnote w:id="205">
    <w:p w14:paraId="39A8053A" w14:textId="488C968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6112 (as amended in 2005); </w:t>
      </w:r>
      <w:r w:rsidRPr="00CC2D68">
        <w:rPr>
          <w:rFonts w:cs="Times New Roman"/>
          <w:i/>
          <w:iCs/>
          <w:szCs w:val="17"/>
        </w:rPr>
        <w:t xml:space="preserve">id. </w:t>
      </w:r>
      <w:r w:rsidRPr="00CC2D68">
        <w:rPr>
          <w:rFonts w:cs="Times New Roman"/>
          <w:szCs w:val="17"/>
        </w:rPr>
        <w:t>§ 6708(a)(1) (as amended in 2004).</w:t>
      </w:r>
    </w:p>
  </w:footnote>
  <w:footnote w:id="206">
    <w:p w14:paraId="7DDD5430" w14:textId="23240DD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 6708(a)(2) (as amended in 2004).</w:t>
      </w:r>
    </w:p>
  </w:footnote>
  <w:footnote w:id="207">
    <w:p w14:paraId="2EF3B8A3" w14:textId="62040A58"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w:t>
      </w:r>
      <w:r w:rsidRPr="00CC2D68">
        <w:rPr>
          <w:rFonts w:cs="Times New Roman"/>
          <w:szCs w:val="17"/>
        </w:rPr>
        <w:t xml:space="preserv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559; Treas. Reg. § 6700(a) (as amended in 2018).</w:t>
      </w:r>
    </w:p>
  </w:footnote>
  <w:footnote w:id="208">
    <w:p w14:paraId="56FF2127" w14:textId="36455900"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 xml:space="preserve">Treas. Reg. § 6700(a) (as amended in 2018). There would be a lesser penalty than $1,000 if the income derived from the tax abuse scheme </w:t>
      </w:r>
      <w:r>
        <w:rPr>
          <w:rFonts w:cs="Times New Roman"/>
          <w:szCs w:val="17"/>
        </w:rPr>
        <w:t>was</w:t>
      </w:r>
      <w:r w:rsidRPr="00CC2D68">
        <w:rPr>
          <w:rFonts w:cs="Times New Roman"/>
          <w:szCs w:val="17"/>
        </w:rPr>
        <w:t xml:space="preserve"> less than $1,000.</w:t>
      </w:r>
      <w:r w:rsidRPr="00CC2D68">
        <w:rPr>
          <w:rFonts w:cs="Times New Roman"/>
          <w:i/>
          <w:iCs/>
          <w:szCs w:val="17"/>
        </w:rPr>
        <w:t xml:space="preserve"> </w:t>
      </w:r>
      <w:r w:rsidRPr="00CC2D68">
        <w:rPr>
          <w:rFonts w:cs="Times New Roman"/>
          <w:szCs w:val="17"/>
        </w:rPr>
        <w:t xml:space="preserve">There would be a lesser penalty than $1,000 if the income derived from the tax abuse scheme </w:t>
      </w:r>
      <w:r>
        <w:rPr>
          <w:rFonts w:cs="Times New Roman"/>
          <w:szCs w:val="17"/>
        </w:rPr>
        <w:t>was</w:t>
      </w:r>
      <w:r w:rsidRPr="00CC2D68">
        <w:rPr>
          <w:rFonts w:cs="Times New Roman"/>
          <w:szCs w:val="17"/>
        </w:rPr>
        <w:t xml:space="preserve"> less than $1,000. </w:t>
      </w:r>
      <w:r w:rsidRPr="00CC2D68">
        <w:rPr>
          <w:rFonts w:cs="Times New Roman"/>
          <w:i/>
          <w:iCs/>
          <w:szCs w:val="17"/>
        </w:rPr>
        <w:t xml:space="preserve">Id. </w:t>
      </w:r>
    </w:p>
  </w:footnote>
  <w:footnote w:id="209">
    <w:p w14:paraId="14A7AA24"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w:t>
      </w:r>
      <w:r w:rsidRPr="00CC2D68">
        <w:rPr>
          <w:rFonts w:cs="Times New Roman"/>
          <w:szCs w:val="17"/>
        </w:rPr>
        <w:t xml:space="preserve"> </w:t>
      </w:r>
      <w:r w:rsidRPr="00CC2D68">
        <w:rPr>
          <w:rFonts w:cs="Times New Roman"/>
          <w:i/>
          <w:iCs/>
          <w:szCs w:val="17"/>
        </w:rPr>
        <w:t xml:space="preserve">id. </w:t>
      </w:r>
    </w:p>
  </w:footnote>
  <w:footnote w:id="210">
    <w:p w14:paraId="7F36D9CD" w14:textId="465120A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id. </w:t>
      </w:r>
      <w:r w:rsidRPr="00CC2D68">
        <w:rPr>
          <w:rFonts w:cs="Times New Roman"/>
          <w:szCs w:val="17"/>
        </w:rPr>
        <w:t>§ 6700(b) (as amended in 2018).</w:t>
      </w:r>
    </w:p>
  </w:footnote>
  <w:footnote w:id="211">
    <w:p w14:paraId="764E8C8C" w14:textId="71F6442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6700(a)(2)(B) (as amended in 2018).</w:t>
      </w:r>
    </w:p>
  </w:footnote>
  <w:footnote w:id="212">
    <w:p w14:paraId="3E72D976" w14:textId="3C41FA8E"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id. </w:t>
      </w:r>
      <w:r w:rsidRPr="00CC2D68">
        <w:rPr>
          <w:rFonts w:cs="Times New Roman"/>
          <w:szCs w:val="17"/>
        </w:rPr>
        <w:t>§ 6700(a)(2) (as amended in 2018).</w:t>
      </w:r>
    </w:p>
  </w:footnote>
  <w:footnote w:id="213">
    <w:p w14:paraId="570D4E6B"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214">
    <w:p w14:paraId="348654CF" w14:textId="73C4F633" w:rsidR="00C242D9" w:rsidRPr="00CC2D68" w:rsidRDefault="00C242D9" w:rsidP="007821FB">
      <w:pPr>
        <w:pStyle w:val="FootnoteText"/>
        <w:rPr>
          <w:rFonts w:cs="Times New Roman"/>
          <w:i/>
          <w:iC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215">
    <w:p w14:paraId="20705F4B"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216">
    <w:p w14:paraId="12048EC6" w14:textId="3B6EB8C4" w:rsidR="00C242D9" w:rsidRPr="00CC2D68" w:rsidRDefault="00C242D9" w:rsidP="007821FB">
      <w:pPr>
        <w:pStyle w:val="FootnoteText"/>
        <w:ind w:left="720" w:hanging="360"/>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559.</w:t>
      </w:r>
    </w:p>
  </w:footnote>
  <w:footnote w:id="217">
    <w:p w14:paraId="53E60331" w14:textId="18DE296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w:t>
      </w:r>
      <w:r w:rsidRPr="00CC2D68">
        <w:rPr>
          <w:rFonts w:cs="Times New Roman"/>
          <w:szCs w:val="17"/>
        </w:rPr>
        <w:t xml:space="preserve"> Treas. Reg. § 6701(a)–(b) (as amended in 1989).</w:t>
      </w:r>
    </w:p>
  </w:footnote>
  <w:footnote w:id="218">
    <w:p w14:paraId="3A1550A8" w14:textId="07A47F9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6701(d) (as amended in 1989).</w:t>
      </w:r>
    </w:p>
  </w:footnote>
  <w:footnote w:id="219">
    <w:p w14:paraId="5EC41F69" w14:textId="17E741A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6701(a)–(b) (as amended in 1989).</w:t>
      </w:r>
    </w:p>
  </w:footnote>
  <w:footnote w:id="220">
    <w:p w14:paraId="24F5EBF1" w14:textId="580E422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6501(c)(10) (as amended in 2022).</w:t>
      </w:r>
    </w:p>
  </w:footnote>
  <w:footnote w:id="221">
    <w:p w14:paraId="09694C81"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222">
    <w:p w14:paraId="27A89D13"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223">
    <w:p w14:paraId="0A9E9BD3" w14:textId="453C162A"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6501(c)(10)(A)–(B) (as amended in 2022).</w:t>
      </w:r>
    </w:p>
  </w:footnote>
  <w:footnote w:id="224">
    <w:p w14:paraId="01CCB0CB" w14:textId="0C6C88D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discussion </w:t>
      </w:r>
      <w:r w:rsidRPr="00CC2D68">
        <w:rPr>
          <w:rFonts w:cs="Times New Roman"/>
          <w:i/>
          <w:iCs/>
          <w:szCs w:val="17"/>
        </w:rPr>
        <w:t xml:space="preserve">supra </w:t>
      </w:r>
      <w:r w:rsidRPr="00CC2D68">
        <w:rPr>
          <w:rFonts w:cs="Times New Roman"/>
          <w:szCs w:val="17"/>
        </w:rPr>
        <w:t xml:space="preserve">Section IV.D; Jay Adkisson, </w:t>
      </w:r>
      <w:r w:rsidRPr="00CC2D68">
        <w:rPr>
          <w:rFonts w:cs="Times New Roman"/>
          <w:i/>
          <w:iCs/>
          <w:szCs w:val="17"/>
        </w:rPr>
        <w:t xml:space="preserve">U.S. Treasury Department Issues Proposed Regulations to Finally Eviscerate </w:t>
      </w:r>
      <w:proofErr w:type="spellStart"/>
      <w:r w:rsidRPr="00CC2D68">
        <w:rPr>
          <w:rFonts w:cs="Times New Roman"/>
          <w:i/>
          <w:iCs/>
          <w:szCs w:val="17"/>
        </w:rPr>
        <w:t>Microcaptive</w:t>
      </w:r>
      <w:proofErr w:type="spellEnd"/>
      <w:r w:rsidRPr="00CC2D68">
        <w:rPr>
          <w:rFonts w:cs="Times New Roman"/>
          <w:i/>
          <w:iCs/>
          <w:szCs w:val="17"/>
        </w:rPr>
        <w:t xml:space="preserve"> Tax Shelters</w:t>
      </w:r>
      <w:r w:rsidRPr="00CC2D68">
        <w:rPr>
          <w:rFonts w:cs="Times New Roman"/>
          <w:szCs w:val="17"/>
        </w:rPr>
        <w:t xml:space="preserve">, </w:t>
      </w:r>
      <w:r w:rsidRPr="00CC2D68">
        <w:rPr>
          <w:rFonts w:cs="Times New Roman"/>
          <w:smallCaps/>
          <w:szCs w:val="17"/>
        </w:rPr>
        <w:t>Forbes</w:t>
      </w:r>
      <w:r w:rsidRPr="00CC2D68">
        <w:rPr>
          <w:rFonts w:cs="Times New Roman"/>
          <w:szCs w:val="17"/>
        </w:rPr>
        <w:t xml:space="preserve"> (Apr. 11, 2023, 1:24 PM EDT), https://www.forbes.com/sites/jayadkisson/2023/04/11/us-treasury-department-issues-proposed-regulations-to-finally-eviscerate-microcaptive-tax-shelters</w:t>
      </w:r>
      <w:r w:rsidRPr="00CC2D68">
        <w:rPr>
          <w:rFonts w:cs="Times New Roman"/>
          <w:smallCaps/>
          <w:szCs w:val="17"/>
        </w:rPr>
        <w:t xml:space="preserve"> [</w:t>
      </w:r>
      <w:r w:rsidRPr="00CC2D68">
        <w:rPr>
          <w:rFonts w:cs="Times New Roman"/>
          <w:szCs w:val="17"/>
          <w:shd w:val="clear" w:color="auto" w:fill="FFFFFF"/>
        </w:rPr>
        <w:t>https://perma.cc/FSN6-W2U2</w:t>
      </w:r>
      <w:r w:rsidRPr="00CC2D68">
        <w:rPr>
          <w:rStyle w:val="Strong"/>
          <w:rFonts w:cs="Times New Roman"/>
          <w:szCs w:val="17"/>
          <w:shd w:val="clear" w:color="auto" w:fill="FFFFFF"/>
        </w:rPr>
        <w:t>].</w:t>
      </w:r>
    </w:p>
  </w:footnote>
  <w:footnote w:id="225">
    <w:p w14:paraId="24A705A2"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discussion </w:t>
      </w:r>
      <w:r w:rsidRPr="00CC2D68">
        <w:rPr>
          <w:rFonts w:cs="Times New Roman"/>
          <w:i/>
          <w:iCs/>
          <w:szCs w:val="17"/>
        </w:rPr>
        <w:t xml:space="preserve">supra </w:t>
      </w:r>
      <w:r w:rsidRPr="00CC2D68">
        <w:rPr>
          <w:rFonts w:cs="Times New Roman"/>
          <w:szCs w:val="17"/>
        </w:rPr>
        <w:t>Section IV.D.</w:t>
      </w:r>
    </w:p>
  </w:footnote>
  <w:footnote w:id="226">
    <w:p w14:paraId="368FDFF0" w14:textId="3ACA1A5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i/>
          <w:iCs/>
          <w:szCs w:val="17"/>
        </w:rPr>
        <w:t>.</w:t>
      </w:r>
      <w:r w:rsidRPr="00CC2D68">
        <w:rPr>
          <w:rFonts w:cs="Times New Roman"/>
          <w:i/>
          <w:iCs/>
          <w:szCs w:val="17"/>
        </w:rPr>
        <w:tab/>
        <w:t xml:space="preserve">See </w:t>
      </w:r>
      <w:r w:rsidRPr="00CC2D68">
        <w:rPr>
          <w:rFonts w:cs="Times New Roman"/>
          <w:szCs w:val="17"/>
        </w:rPr>
        <w:t>Treas. Reg. § 6707(b) (as amended in 2004);</w:t>
      </w:r>
      <w:r w:rsidRPr="00CC2D68">
        <w:rPr>
          <w:rFonts w:cs="Times New Roman"/>
          <w:i/>
          <w:iCs/>
          <w:szCs w:val="17"/>
        </w:rPr>
        <w:t xml:space="preserve"> id.</w:t>
      </w:r>
      <w:r w:rsidRPr="00CC2D68">
        <w:rPr>
          <w:rFonts w:cs="Times New Roman"/>
          <w:szCs w:val="17"/>
        </w:rPr>
        <w:t xml:space="preserve"> § 6707A(b)(2) (as amended in 2010). Additionally, there is a $150,000 increase for corporate taxpayers. </w:t>
      </w:r>
      <w:r w:rsidRPr="00CC2D68">
        <w:rPr>
          <w:rFonts w:cs="Times New Roman"/>
          <w:i/>
          <w:iCs/>
          <w:szCs w:val="17"/>
        </w:rPr>
        <w:t>See id.</w:t>
      </w:r>
      <w:r w:rsidRPr="00CC2D68">
        <w:rPr>
          <w:rFonts w:cs="Times New Roman"/>
          <w:szCs w:val="17"/>
        </w:rPr>
        <w:t xml:space="preserve"> § 6707A(b)(2) </w:t>
      </w:r>
      <w:r w:rsidRPr="00CC2D68">
        <w:rPr>
          <w:rFonts w:cs="Times New Roman"/>
          <w:sz w:val="16"/>
          <w:szCs w:val="16"/>
        </w:rPr>
        <w:t>(as amended in 2010).</w:t>
      </w:r>
    </w:p>
  </w:footnote>
  <w:footnote w:id="227">
    <w:p w14:paraId="488EBAA0" w14:textId="3F363C8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6701 (as amended in 1989).</w:t>
      </w:r>
    </w:p>
  </w:footnote>
  <w:footnote w:id="228">
    <w:p w14:paraId="269A6E0F" w14:textId="287F1369"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 6701(a)–(b) (as amended in 1989).</w:t>
      </w:r>
    </w:p>
  </w:footnote>
  <w:footnote w:id="229">
    <w:p w14:paraId="0D7CF870" w14:textId="6A88485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w:t>
      </w:r>
      <w:r w:rsidRPr="00CC2D68">
        <w:rPr>
          <w:rFonts w:cs="Times New Roman"/>
          <w:szCs w:val="17"/>
        </w:rPr>
        <w:t xml:space="preserve"> </w:t>
      </w:r>
      <w:proofErr w:type="spellStart"/>
      <w:r w:rsidRPr="00CC2D68">
        <w:rPr>
          <w:rFonts w:cs="Times New Roman"/>
          <w:szCs w:val="17"/>
        </w:rPr>
        <w:t>Adkisson</w:t>
      </w:r>
      <w:proofErr w:type="spellEnd"/>
      <w:r w:rsidRPr="00CC2D68">
        <w:rPr>
          <w:rFonts w:cs="Times New Roman"/>
          <w:szCs w:val="17"/>
        </w:rPr>
        <w:t xml:space="preserve">,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_Ref141550460 \h  \* MERGEFORMAT </w:instrText>
      </w:r>
      <w:r w:rsidRPr="00CC2D68">
        <w:rPr>
          <w:rFonts w:cs="Times New Roman"/>
          <w:szCs w:val="17"/>
        </w:rPr>
      </w:r>
      <w:r w:rsidRPr="00CC2D68">
        <w:rPr>
          <w:rFonts w:cs="Times New Roman"/>
          <w:szCs w:val="17"/>
        </w:rPr>
        <w:fldChar w:fldCharType="separate"/>
      </w:r>
      <w:r>
        <w:rPr>
          <w:rFonts w:cs="Times New Roman"/>
          <w:szCs w:val="17"/>
        </w:rPr>
        <w:t>222</w:t>
      </w:r>
      <w:r w:rsidRPr="00CC2D68">
        <w:rPr>
          <w:rFonts w:cs="Times New Roman"/>
          <w:szCs w:val="17"/>
        </w:rPr>
        <w:fldChar w:fldCharType="end"/>
      </w:r>
      <w:r w:rsidRPr="00CC2D68">
        <w:rPr>
          <w:rFonts w:cs="Times New Roman"/>
          <w:szCs w:val="17"/>
        </w:rPr>
        <w:t>.</w:t>
      </w:r>
    </w:p>
  </w:footnote>
  <w:footnote w:id="230">
    <w:p w14:paraId="0E53A301" w14:textId="096C2966"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231">
    <w:p w14:paraId="39A10753" w14:textId="65C7B0D9" w:rsidR="00C242D9" w:rsidRPr="00CC2D68" w:rsidRDefault="00C242D9" w:rsidP="007821FB">
      <w:pPr>
        <w:pStyle w:val="FootnoteText"/>
        <w:rPr>
          <w:rFonts w:cs="Times New Roman"/>
          <w:smallCaps/>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Treas. Reg. § 6111 (as amended in 2005); </w:t>
      </w:r>
      <w:r w:rsidRPr="00CC2D68">
        <w:rPr>
          <w:rFonts w:cs="Times New Roman"/>
          <w:i/>
          <w:iCs/>
          <w:szCs w:val="17"/>
        </w:rPr>
        <w:t xml:space="preserve">id. </w:t>
      </w:r>
      <w:r w:rsidRPr="00CC2D68">
        <w:rPr>
          <w:rFonts w:cs="Times New Roman"/>
          <w:szCs w:val="17"/>
        </w:rPr>
        <w:t xml:space="preserve">§ 6707 (as amended in 2004); </w:t>
      </w:r>
      <w:proofErr w:type="spellStart"/>
      <w:r w:rsidRPr="00CC2D68">
        <w:rPr>
          <w:rFonts w:cs="Times New Roman"/>
          <w:szCs w:val="17"/>
        </w:rPr>
        <w:t>Adkisson</w:t>
      </w:r>
      <w:proofErr w:type="spellEnd"/>
      <w:r w:rsidRPr="00CC2D68">
        <w:rPr>
          <w:rFonts w:cs="Times New Roman"/>
          <w:szCs w:val="17"/>
        </w:rPr>
        <w:t xml:space="preserve">,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_Ref141550460 \h  \* MERGEFORMAT </w:instrText>
      </w:r>
      <w:r w:rsidRPr="00CC2D68">
        <w:rPr>
          <w:rFonts w:cs="Times New Roman"/>
          <w:szCs w:val="17"/>
        </w:rPr>
      </w:r>
      <w:r w:rsidRPr="00CC2D68">
        <w:rPr>
          <w:rFonts w:cs="Times New Roman"/>
          <w:szCs w:val="17"/>
        </w:rPr>
        <w:fldChar w:fldCharType="separate"/>
      </w:r>
      <w:r>
        <w:rPr>
          <w:rFonts w:cs="Times New Roman"/>
          <w:szCs w:val="17"/>
        </w:rPr>
        <w:t>222</w:t>
      </w:r>
      <w:r w:rsidRPr="00CC2D68">
        <w:rPr>
          <w:rFonts w:cs="Times New Roman"/>
          <w:szCs w:val="17"/>
        </w:rPr>
        <w:fldChar w:fldCharType="end"/>
      </w:r>
      <w:r w:rsidRPr="00CC2D68">
        <w:rPr>
          <w:rFonts w:cs="Times New Roman"/>
          <w:szCs w:val="17"/>
        </w:rPr>
        <w:t>.</w:t>
      </w:r>
    </w:p>
  </w:footnote>
  <w:footnote w:id="232">
    <w:p w14:paraId="71A2CA33" w14:textId="62E0AE0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w:t>
      </w:r>
      <w:r w:rsidRPr="00CC2D68">
        <w:rPr>
          <w:rFonts w:cs="Times New Roman"/>
          <w:szCs w:val="17"/>
        </w:rPr>
        <w:t xml:space="preserve"> </w:t>
      </w:r>
      <w:proofErr w:type="spellStart"/>
      <w:r w:rsidRPr="00CC2D68">
        <w:rPr>
          <w:rFonts w:cs="Times New Roman"/>
          <w:szCs w:val="17"/>
        </w:rPr>
        <w:t>Adkisson</w:t>
      </w:r>
      <w:proofErr w:type="spellEnd"/>
      <w:r w:rsidRPr="00CC2D68">
        <w:rPr>
          <w:rFonts w:cs="Times New Roman"/>
          <w:szCs w:val="17"/>
        </w:rPr>
        <w:t xml:space="preserve">, </w:t>
      </w:r>
      <w:r w:rsidRPr="00CC2D68">
        <w:rPr>
          <w:rFonts w:cs="Times New Roman"/>
          <w:i/>
          <w:iCs/>
          <w:szCs w:val="17"/>
        </w:rPr>
        <w:t>supra</w:t>
      </w:r>
      <w:r w:rsidRPr="00CC2D68">
        <w:rPr>
          <w:rFonts w:cs="Times New Roman"/>
          <w:szCs w:val="17"/>
        </w:rPr>
        <w:t xml:space="preserve"> note </w:t>
      </w:r>
      <w:r w:rsidRPr="00CC2D68">
        <w:rPr>
          <w:rFonts w:cs="Times New Roman"/>
          <w:szCs w:val="17"/>
        </w:rPr>
        <w:fldChar w:fldCharType="begin"/>
      </w:r>
      <w:r w:rsidRPr="00CC2D68">
        <w:rPr>
          <w:rFonts w:cs="Times New Roman"/>
          <w:szCs w:val="17"/>
        </w:rPr>
        <w:instrText xml:space="preserve"> NOTEREF _Ref141550460 \h  \* MERGEFORMAT </w:instrText>
      </w:r>
      <w:r w:rsidRPr="00CC2D68">
        <w:rPr>
          <w:rFonts w:cs="Times New Roman"/>
          <w:szCs w:val="17"/>
        </w:rPr>
      </w:r>
      <w:r w:rsidRPr="00CC2D68">
        <w:rPr>
          <w:rFonts w:cs="Times New Roman"/>
          <w:szCs w:val="17"/>
        </w:rPr>
        <w:fldChar w:fldCharType="separate"/>
      </w:r>
      <w:r>
        <w:rPr>
          <w:rFonts w:cs="Times New Roman"/>
          <w:szCs w:val="17"/>
        </w:rPr>
        <w:t>222</w:t>
      </w:r>
      <w:r w:rsidRPr="00CC2D68">
        <w:rPr>
          <w:rFonts w:cs="Times New Roman"/>
          <w:szCs w:val="17"/>
        </w:rPr>
        <w:fldChar w:fldCharType="end"/>
      </w:r>
      <w:r w:rsidRPr="00CC2D68">
        <w:rPr>
          <w:rFonts w:cs="Times New Roman"/>
          <w:szCs w:val="17"/>
        </w:rPr>
        <w:t>.</w:t>
      </w:r>
    </w:p>
  </w:footnote>
  <w:footnote w:id="233">
    <w:p w14:paraId="0D33F892" w14:textId="1277A0A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Treas. Reg. § 6111 (as amended in 2005); </w:t>
      </w:r>
      <w:r w:rsidRPr="00CC2D68">
        <w:rPr>
          <w:rFonts w:cs="Times New Roman"/>
          <w:i/>
          <w:iCs/>
          <w:szCs w:val="17"/>
        </w:rPr>
        <w:t>id.</w:t>
      </w:r>
      <w:r w:rsidRPr="00CC2D68">
        <w:rPr>
          <w:rFonts w:cs="Times New Roman"/>
          <w:szCs w:val="17"/>
        </w:rPr>
        <w:t xml:space="preserve"> § 6112 (as amended in 2005).</w:t>
      </w:r>
    </w:p>
  </w:footnote>
  <w:footnote w:id="234">
    <w:p w14:paraId="1DD3BE0D" w14:textId="6A45FB1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szCs w:val="17"/>
        </w:rPr>
        <w:t xml:space="preserve">Id. </w:t>
      </w:r>
      <w:r w:rsidRPr="00CC2D68">
        <w:rPr>
          <w:rFonts w:cs="Times New Roman"/>
          <w:szCs w:val="17"/>
        </w:rPr>
        <w:t>§ 6112 (as amended in 2005).</w:t>
      </w:r>
    </w:p>
  </w:footnote>
  <w:footnote w:id="235">
    <w:p w14:paraId="5F2EB75C" w14:textId="469E376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 6662(a)–(b) (as amended in 2022).</w:t>
      </w:r>
    </w:p>
  </w:footnote>
  <w:footnote w:id="236">
    <w:p w14:paraId="1E3D3EEF" w14:textId="3B7C8988"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 xml:space="preserve">Blank &amp; Glogower, </w:t>
      </w:r>
      <w:r w:rsidRPr="00CC2D68">
        <w:rPr>
          <w:rFonts w:cs="Times New Roman"/>
          <w:i/>
          <w:iCs/>
          <w:szCs w:val="17"/>
        </w:rPr>
        <w:t xml:space="preserve">supra </w:t>
      </w:r>
      <w:r w:rsidRPr="00CC2D68">
        <w:rPr>
          <w:rFonts w:cs="Times New Roman"/>
          <w:szCs w:val="17"/>
        </w:rPr>
        <w:t xml:space="preserve">note </w:t>
      </w:r>
      <w:r w:rsidRPr="00CC2D68">
        <w:rPr>
          <w:rFonts w:cs="Times New Roman"/>
          <w:szCs w:val="17"/>
        </w:rPr>
        <w:fldChar w:fldCharType="begin"/>
      </w:r>
      <w:r w:rsidRPr="00CC2D68">
        <w:rPr>
          <w:rFonts w:cs="Times New Roman"/>
          <w:szCs w:val="17"/>
        </w:rPr>
        <w:instrText xml:space="preserve"> NOTEREF _Ref141549616 \h  \* MERGEFORMAT </w:instrText>
      </w:r>
      <w:r w:rsidRPr="00CC2D68">
        <w:rPr>
          <w:rFonts w:cs="Times New Roman"/>
          <w:szCs w:val="17"/>
        </w:rPr>
      </w:r>
      <w:r w:rsidRPr="00CC2D68">
        <w:rPr>
          <w:rFonts w:cs="Times New Roman"/>
          <w:szCs w:val="17"/>
        </w:rPr>
        <w:fldChar w:fldCharType="separate"/>
      </w:r>
      <w:r>
        <w:rPr>
          <w:rFonts w:cs="Times New Roman"/>
          <w:szCs w:val="17"/>
        </w:rPr>
        <w:t>1</w:t>
      </w:r>
      <w:r w:rsidRPr="00CC2D68">
        <w:rPr>
          <w:rFonts w:cs="Times New Roman"/>
          <w:szCs w:val="17"/>
        </w:rPr>
        <w:fldChar w:fldCharType="end"/>
      </w:r>
      <w:r w:rsidRPr="00CC2D68">
        <w:rPr>
          <w:rFonts w:cs="Times New Roman"/>
          <w:szCs w:val="17"/>
        </w:rPr>
        <w:t>, at 76.</w:t>
      </w:r>
    </w:p>
  </w:footnote>
  <w:footnote w:id="237">
    <w:p w14:paraId="619EE0F9"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discussion </w:t>
      </w:r>
      <w:r w:rsidRPr="00CC2D68">
        <w:rPr>
          <w:rFonts w:cs="Times New Roman"/>
          <w:i/>
          <w:iCs/>
          <w:szCs w:val="17"/>
        </w:rPr>
        <w:t xml:space="preserve">supra </w:t>
      </w:r>
      <w:r w:rsidRPr="00CC2D68">
        <w:rPr>
          <w:rFonts w:cs="Times New Roman"/>
          <w:szCs w:val="17"/>
        </w:rPr>
        <w:t>Section III.B.</w:t>
      </w:r>
    </w:p>
  </w:footnote>
  <w:footnote w:id="238">
    <w:p w14:paraId="66121ECE"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 xml:space="preserve">discussion </w:t>
      </w:r>
      <w:r w:rsidRPr="00CC2D68">
        <w:rPr>
          <w:rFonts w:cs="Times New Roman"/>
          <w:i/>
          <w:iCs/>
          <w:szCs w:val="17"/>
        </w:rPr>
        <w:t xml:space="preserve">supra </w:t>
      </w:r>
      <w:r w:rsidRPr="00CC2D68">
        <w:rPr>
          <w:rFonts w:cs="Times New Roman"/>
          <w:szCs w:val="17"/>
        </w:rPr>
        <w:t>Section III.B.</w:t>
      </w:r>
    </w:p>
  </w:footnote>
  <w:footnote w:id="239">
    <w:p w14:paraId="6034C350" w14:textId="426CBBD5"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iCs/>
          <w:szCs w:val="17"/>
        </w:rPr>
        <w:fldChar w:fldCharType="begin"/>
      </w:r>
      <w:r w:rsidRPr="00CC2D68">
        <w:rPr>
          <w:rFonts w:cs="Times New Roman"/>
          <w:iCs/>
          <w:szCs w:val="17"/>
        </w:rPr>
        <w:instrText xml:space="preserve"> NOTEREF _Ref141549575 \h  \* MERGEFORMAT </w:instrText>
      </w:r>
      <w:r w:rsidRPr="00CC2D68">
        <w:rPr>
          <w:rFonts w:cs="Times New Roman"/>
          <w:iCs/>
          <w:szCs w:val="17"/>
        </w:rPr>
      </w:r>
      <w:r w:rsidRPr="00CC2D68">
        <w:rPr>
          <w:rFonts w:cs="Times New Roman"/>
          <w:iCs/>
          <w:szCs w:val="17"/>
        </w:rPr>
        <w:fldChar w:fldCharType="separate"/>
      </w:r>
      <w:r>
        <w:rPr>
          <w:rFonts w:cs="Times New Roman"/>
          <w:iCs/>
          <w:szCs w:val="17"/>
        </w:rPr>
        <w:t>5</w:t>
      </w:r>
      <w:r w:rsidRPr="00CC2D68">
        <w:rPr>
          <w:rFonts w:cs="Times New Roman"/>
          <w:iCs/>
          <w:szCs w:val="17"/>
        </w:rPr>
        <w:fldChar w:fldCharType="end"/>
      </w:r>
      <w:r w:rsidRPr="00CC2D68">
        <w:rPr>
          <w:rFonts w:cs="Times New Roman"/>
          <w:szCs w:val="17"/>
        </w:rPr>
        <w:t>, at 21</w:t>
      </w:r>
      <w:r>
        <w:rPr>
          <w:rFonts w:cs="Times New Roman"/>
          <w:szCs w:val="17"/>
        </w:rPr>
        <w:t>,</w:t>
      </w:r>
      <w:r w:rsidRPr="00CC2D68">
        <w:rPr>
          <w:rFonts w:cs="Times New Roman"/>
          <w:szCs w:val="17"/>
        </w:rPr>
        <w:t>561.</w:t>
      </w:r>
    </w:p>
  </w:footnote>
  <w:footnote w:id="240">
    <w:p w14:paraId="6335C547" w14:textId="2D5D0FA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xml:space="preserve">. </w:t>
      </w:r>
    </w:p>
  </w:footnote>
  <w:footnote w:id="241">
    <w:p w14:paraId="20DE203E" w14:textId="40148B92"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p>
  </w:footnote>
  <w:footnote w:id="242">
    <w:p w14:paraId="0487B023" w14:textId="1E0F658C"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21</w:t>
      </w:r>
      <w:r>
        <w:rPr>
          <w:rFonts w:cs="Times New Roman"/>
          <w:szCs w:val="17"/>
        </w:rPr>
        <w:t>,</w:t>
      </w:r>
      <w:r w:rsidRPr="00CC2D68">
        <w:rPr>
          <w:rFonts w:cs="Times New Roman"/>
          <w:szCs w:val="17"/>
        </w:rPr>
        <w:t>547–59.</w:t>
      </w:r>
    </w:p>
  </w:footnote>
  <w:footnote w:id="243">
    <w:p w14:paraId="647CD860" w14:textId="7DDDABF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Id</w:t>
      </w:r>
      <w:r w:rsidRPr="00CC2D68">
        <w:rPr>
          <w:rFonts w:cs="Times New Roman"/>
          <w:szCs w:val="17"/>
        </w:rPr>
        <w:t>. at. 21</w:t>
      </w:r>
      <w:r>
        <w:rPr>
          <w:rFonts w:cs="Times New Roman"/>
          <w:szCs w:val="17"/>
        </w:rPr>
        <w:t>,</w:t>
      </w:r>
      <w:r w:rsidRPr="00CC2D68">
        <w:rPr>
          <w:rFonts w:cs="Times New Roman"/>
          <w:szCs w:val="17"/>
        </w:rPr>
        <w:t xml:space="preserve">552; </w:t>
      </w:r>
      <w:r w:rsidRPr="00CC2D68">
        <w:rPr>
          <w:rFonts w:cs="Times New Roman"/>
          <w:i/>
          <w:iCs/>
          <w:szCs w:val="17"/>
        </w:rPr>
        <w:t>see generally</w:t>
      </w:r>
      <w:r w:rsidRPr="00CC2D68">
        <w:rPr>
          <w:rFonts w:cs="Times New Roman"/>
          <w:szCs w:val="17"/>
        </w:rPr>
        <w:t xml:space="preserve"> Treas. Reg. § 833 (as amended in 2014).</w:t>
      </w:r>
    </w:p>
  </w:footnote>
  <w:footnote w:id="244">
    <w:p w14:paraId="2485B46B" w14:textId="3E0972FD"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w:t>
      </w:r>
      <w:r w:rsidRPr="00CC2D68">
        <w:rPr>
          <w:rFonts w:cs="Times New Roman"/>
          <w:szCs w:val="17"/>
        </w:rPr>
        <w:t>Treas. Reg. § 833(c)(5) (as amended in 2014).</w:t>
      </w:r>
    </w:p>
  </w:footnote>
  <w:footnote w:id="245">
    <w:p w14:paraId="386722AC" w14:textId="1454BF6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t>Proposed Regulations Document</w:t>
      </w:r>
      <w:r w:rsidRPr="00CC2D68">
        <w:rPr>
          <w:rFonts w:cs="Times New Roman"/>
          <w:iCs/>
          <w:szCs w:val="17"/>
        </w:rPr>
        <w:t xml:space="preserve">, </w:t>
      </w:r>
      <w:r w:rsidRPr="00CC2D68">
        <w:rPr>
          <w:rFonts w:cs="Times New Roman"/>
          <w:i/>
          <w:szCs w:val="17"/>
        </w:rPr>
        <w:t>supra</w:t>
      </w:r>
      <w:r w:rsidRPr="00CC2D68">
        <w:rPr>
          <w:rFonts w:cs="Times New Roman"/>
          <w:iCs/>
          <w:szCs w:val="17"/>
        </w:rPr>
        <w:t xml:space="preserve"> note </w:t>
      </w:r>
      <w:r w:rsidRPr="00CC2D68">
        <w:rPr>
          <w:rFonts w:cs="Times New Roman"/>
          <w:szCs w:val="17"/>
        </w:rPr>
        <w:fldChar w:fldCharType="begin"/>
      </w:r>
      <w:r w:rsidRPr="00CC2D68">
        <w:rPr>
          <w:rFonts w:cs="Times New Roman"/>
          <w:szCs w:val="17"/>
        </w:rPr>
        <w:instrText xml:space="preserve"> NOTEREF _Ref141549575 \h  \* MERGEFORMAT </w:instrText>
      </w:r>
      <w:r w:rsidRPr="00CC2D68">
        <w:rPr>
          <w:rFonts w:cs="Times New Roman"/>
          <w:szCs w:val="17"/>
        </w:rPr>
      </w:r>
      <w:r w:rsidRPr="00CC2D68">
        <w:rPr>
          <w:rFonts w:cs="Times New Roman"/>
          <w:szCs w:val="17"/>
        </w:rPr>
        <w:fldChar w:fldCharType="separate"/>
      </w:r>
      <w:r>
        <w:rPr>
          <w:rFonts w:cs="Times New Roman"/>
          <w:szCs w:val="17"/>
        </w:rPr>
        <w:t>5</w:t>
      </w:r>
      <w:r w:rsidRPr="00CC2D68">
        <w:rPr>
          <w:rFonts w:cs="Times New Roman"/>
          <w:szCs w:val="17"/>
        </w:rPr>
        <w:fldChar w:fldCharType="end"/>
      </w:r>
      <w:r w:rsidRPr="00CC2D68">
        <w:rPr>
          <w:rFonts w:cs="Times New Roman"/>
          <w:szCs w:val="17"/>
        </w:rPr>
        <w:t>, at 21</w:t>
      </w:r>
      <w:r>
        <w:rPr>
          <w:rFonts w:cs="Times New Roman"/>
          <w:szCs w:val="17"/>
        </w:rPr>
        <w:t>,</w:t>
      </w:r>
      <w:r w:rsidRPr="00CC2D68">
        <w:rPr>
          <w:rFonts w:cs="Times New Roman"/>
          <w:szCs w:val="17"/>
        </w:rPr>
        <w:t>552.</w:t>
      </w:r>
    </w:p>
  </w:footnote>
  <w:footnote w:id="246">
    <w:p w14:paraId="67A9E3FE" w14:textId="3B057021"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r w:rsidRPr="00CC2D68">
        <w:rPr>
          <w:rFonts w:cs="Times New Roman"/>
          <w:szCs w:val="17"/>
        </w:rPr>
        <w:t xml:space="preserve"> at 21</w:t>
      </w:r>
      <w:r>
        <w:rPr>
          <w:rFonts w:cs="Times New Roman"/>
          <w:szCs w:val="17"/>
        </w:rPr>
        <w:t>,</w:t>
      </w:r>
      <w:r w:rsidRPr="00CC2D68">
        <w:rPr>
          <w:rFonts w:cs="Times New Roman"/>
          <w:szCs w:val="17"/>
        </w:rPr>
        <w:t>557.</w:t>
      </w:r>
    </w:p>
  </w:footnote>
  <w:footnote w:id="247">
    <w:p w14:paraId="7B9C7A5C"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 id.</w:t>
      </w:r>
    </w:p>
  </w:footnote>
  <w:footnote w:id="248">
    <w:p w14:paraId="3D0F1BA0" w14:textId="0932FDEB"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w:t>
      </w:r>
      <w:r w:rsidRPr="00CC2D68">
        <w:rPr>
          <w:rFonts w:cs="Times New Roman"/>
          <w:szCs w:val="17"/>
        </w:rPr>
        <w:t xml:space="preserve"> </w:t>
      </w:r>
      <w:r w:rsidRPr="00CC2D68">
        <w:rPr>
          <w:rFonts w:cs="Times New Roman"/>
          <w:i/>
          <w:iCs/>
          <w:szCs w:val="17"/>
        </w:rPr>
        <w:t>id.</w:t>
      </w:r>
      <w:r w:rsidRPr="00CC2D68">
        <w:rPr>
          <w:rFonts w:cs="Times New Roman"/>
          <w:szCs w:val="17"/>
        </w:rPr>
        <w:t xml:space="preserve"> at 21</w:t>
      </w:r>
      <w:r>
        <w:rPr>
          <w:rFonts w:cs="Times New Roman"/>
          <w:szCs w:val="17"/>
        </w:rPr>
        <w:t>,</w:t>
      </w:r>
      <w:r w:rsidRPr="00CC2D68">
        <w:rPr>
          <w:rFonts w:cs="Times New Roman"/>
          <w:szCs w:val="17"/>
        </w:rPr>
        <w:t>560.</w:t>
      </w:r>
    </w:p>
  </w:footnote>
  <w:footnote w:id="249">
    <w:p w14:paraId="07A39AE0"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w:t>
      </w:r>
      <w:r w:rsidRPr="00CC2D68">
        <w:rPr>
          <w:rFonts w:cs="Times New Roman"/>
          <w:szCs w:val="17"/>
        </w:rPr>
        <w:t xml:space="preserve"> </w:t>
      </w:r>
      <w:r w:rsidRPr="00CC2D68">
        <w:rPr>
          <w:rFonts w:cs="Times New Roman"/>
          <w:i/>
          <w:iCs/>
          <w:szCs w:val="17"/>
        </w:rPr>
        <w:t>id.</w:t>
      </w:r>
    </w:p>
  </w:footnote>
  <w:footnote w:id="250">
    <w:p w14:paraId="2A793D5F"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w:t>
      </w:r>
      <w:r w:rsidRPr="00CC2D68">
        <w:rPr>
          <w:rFonts w:cs="Times New Roman"/>
          <w:szCs w:val="17"/>
        </w:rPr>
        <w:t xml:space="preserve"> </w:t>
      </w:r>
      <w:r w:rsidRPr="00CC2D68">
        <w:rPr>
          <w:rFonts w:cs="Times New Roman"/>
          <w:i/>
          <w:iCs/>
          <w:szCs w:val="17"/>
        </w:rPr>
        <w:t>id.</w:t>
      </w:r>
    </w:p>
  </w:footnote>
  <w:footnote w:id="251">
    <w:p w14:paraId="08342F9F" w14:textId="77777777" w:rsidR="00C242D9" w:rsidRPr="00CC2D68"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See</w:t>
      </w:r>
      <w:r w:rsidRPr="00CC2D68">
        <w:rPr>
          <w:rFonts w:cs="Times New Roman"/>
          <w:szCs w:val="17"/>
        </w:rPr>
        <w:t xml:space="preserve"> </w:t>
      </w:r>
      <w:r w:rsidRPr="00CC2D68">
        <w:rPr>
          <w:rFonts w:cs="Times New Roman"/>
          <w:i/>
          <w:iCs/>
          <w:szCs w:val="17"/>
        </w:rPr>
        <w:t>id.</w:t>
      </w:r>
    </w:p>
  </w:footnote>
  <w:footnote w:id="252">
    <w:p w14:paraId="18C0BA89" w14:textId="123E9A53" w:rsidR="00C242D9" w:rsidRDefault="00C242D9" w:rsidP="007821FB">
      <w:pPr>
        <w:pStyle w:val="FootnoteText"/>
        <w:rPr>
          <w:rFonts w:cs="Times New Roman"/>
          <w:szCs w:val="17"/>
        </w:rPr>
      </w:pPr>
      <w:r w:rsidRPr="00CC2D68">
        <w:rPr>
          <w:rStyle w:val="FootnoteReference"/>
          <w:rFonts w:cs="Times New Roman"/>
          <w:sz w:val="17"/>
          <w:szCs w:val="17"/>
          <w:vertAlign w:val="baseline"/>
        </w:rPr>
        <w:footnoteRef/>
      </w:r>
      <w:r w:rsidRPr="00CC2D68">
        <w:rPr>
          <w:rFonts w:cs="Times New Roman"/>
          <w:szCs w:val="17"/>
        </w:rPr>
        <w:t>.</w:t>
      </w:r>
      <w:r w:rsidRPr="00CC2D68">
        <w:rPr>
          <w:rFonts w:cs="Times New Roman"/>
          <w:szCs w:val="17"/>
        </w:rPr>
        <w:tab/>
      </w:r>
      <w:r w:rsidRPr="00CC2D68">
        <w:rPr>
          <w:rFonts w:cs="Times New Roman"/>
          <w:i/>
          <w:iCs/>
          <w:szCs w:val="17"/>
        </w:rPr>
        <w:t xml:space="preserve">See TCIA Submits Comments to IRS on </w:t>
      </w:r>
      <w:proofErr w:type="spellStart"/>
      <w:r w:rsidRPr="00CC2D68">
        <w:rPr>
          <w:rFonts w:cs="Times New Roman"/>
          <w:i/>
          <w:iCs/>
          <w:szCs w:val="17"/>
        </w:rPr>
        <w:t>Microcaptives</w:t>
      </w:r>
      <w:proofErr w:type="spellEnd"/>
      <w:r w:rsidRPr="00CC2D68">
        <w:rPr>
          <w:rFonts w:cs="Times New Roman"/>
          <w:szCs w:val="17"/>
        </w:rPr>
        <w:t xml:space="preserve">, </w:t>
      </w:r>
      <w:r w:rsidRPr="00CC2D68">
        <w:rPr>
          <w:rFonts w:cs="Times New Roman"/>
          <w:smallCaps/>
          <w:szCs w:val="17"/>
        </w:rPr>
        <w:t>Captive Int’l</w:t>
      </w:r>
      <w:r w:rsidRPr="00CC2D68">
        <w:rPr>
          <w:rFonts w:cs="Times New Roman"/>
          <w:szCs w:val="17"/>
        </w:rPr>
        <w:t xml:space="preserve"> (June 22, 2023),</w:t>
      </w:r>
      <w:r>
        <w:rPr>
          <w:rFonts w:cs="Times New Roman"/>
          <w:szCs w:val="17"/>
        </w:rPr>
        <w:t xml:space="preserve"> </w:t>
      </w:r>
      <w:hyperlink r:id="rId1" w:history="1">
        <w:r w:rsidRPr="00071AEF">
          <w:rPr>
            <w:rStyle w:val="Hyperlink"/>
            <w:rFonts w:cs="Times New Roman"/>
            <w:szCs w:val="17"/>
          </w:rPr>
          <w:t>https://www.captiveinternational.com/news/tcia-submits-comments-to-irs-on-microca</w:t>
        </w:r>
      </w:hyperlink>
    </w:p>
    <w:p w14:paraId="55138C86" w14:textId="06B30A78" w:rsidR="00C242D9" w:rsidRPr="00CC2D68" w:rsidRDefault="00C242D9" w:rsidP="00357836">
      <w:pPr>
        <w:pStyle w:val="FootnoteText"/>
        <w:ind w:firstLine="0"/>
        <w:rPr>
          <w:rFonts w:cs="Times New Roman"/>
          <w:szCs w:val="17"/>
        </w:rPr>
      </w:pPr>
      <w:r w:rsidRPr="00CC2D68">
        <w:rPr>
          <w:rFonts w:cs="Times New Roman"/>
          <w:szCs w:val="17"/>
        </w:rPr>
        <w:t xml:space="preserve">ptives-6247 </w:t>
      </w:r>
      <w:r w:rsidRPr="00CC2D68">
        <w:rPr>
          <w:rStyle w:val="Strong"/>
          <w:rFonts w:cs="Times New Roman"/>
          <w:b w:val="0"/>
          <w:bCs w:val="0"/>
          <w:szCs w:val="17"/>
        </w:rPr>
        <w:t>[https://perma.cc/QH7B-B3B5</w:t>
      </w:r>
      <w:r w:rsidRPr="00CC2D68">
        <w:rPr>
          <w:rFonts w:cs="Times New Roman"/>
          <w:b/>
          <w:bCs/>
          <w:szCs w:val="17"/>
          <w:shd w:val="clear" w:color="auto" w:fill="FFFFFF"/>
        </w:rPr>
        <w:t>]</w:t>
      </w:r>
      <w:r w:rsidRPr="00CC2D68">
        <w:rPr>
          <w:rFonts w:cs="Times New Roman"/>
          <w:szCs w:val="17"/>
          <w:shd w:val="clear" w:color="auto" w:fill="FFFFFF"/>
        </w:rPr>
        <w:t>;</w:t>
      </w:r>
      <w:r w:rsidRPr="00CC2D68">
        <w:rPr>
          <w:rFonts w:cs="Times New Roman"/>
          <w:szCs w:val="17"/>
        </w:rPr>
        <w:t xml:space="preserve"> Frances Jones, </w:t>
      </w:r>
      <w:r w:rsidRPr="00CC2D68">
        <w:rPr>
          <w:rFonts w:cs="Times New Roman"/>
          <w:i/>
          <w:iCs/>
          <w:szCs w:val="17"/>
        </w:rPr>
        <w:t>Oklahoma Insurance Department Submits Comment on Proposed IRS Captive Regulations</w:t>
      </w:r>
      <w:r w:rsidRPr="00CC2D68">
        <w:rPr>
          <w:rFonts w:cs="Times New Roman"/>
          <w:szCs w:val="17"/>
        </w:rPr>
        <w:t xml:space="preserve">, </w:t>
      </w:r>
      <w:r w:rsidRPr="00CC2D68">
        <w:rPr>
          <w:rFonts w:cs="Times New Roman"/>
          <w:smallCaps/>
          <w:szCs w:val="17"/>
        </w:rPr>
        <w:t>Captive Ins. Times (</w:t>
      </w:r>
      <w:r w:rsidRPr="00CC2D68">
        <w:rPr>
          <w:rFonts w:cs="Times New Roman"/>
          <w:szCs w:val="17"/>
        </w:rPr>
        <w:t>June 22, 2023)</w:t>
      </w:r>
      <w:r>
        <w:rPr>
          <w:rFonts w:cs="Times New Roman"/>
          <w:szCs w:val="17"/>
        </w:rPr>
        <w:t xml:space="preserve">, </w:t>
      </w:r>
      <w:hyperlink r:id="rId2" w:history="1">
        <w:r w:rsidRPr="00AA017E">
          <w:rPr>
            <w:rStyle w:val="Hyperlink"/>
            <w:rFonts w:cs="Times New Roman"/>
            <w:szCs w:val="17"/>
          </w:rPr>
          <w:t>https://www.captiveinsurancetimes.com/captiveinsurancenews/industryarticle</w:t>
        </w:r>
        <w:r w:rsidRPr="00071AEF">
          <w:rPr>
            <w:rStyle w:val="Hyperlink"/>
            <w:rFonts w:cs="Times New Roman"/>
            <w:szCs w:val="17"/>
          </w:rPr>
          <w:t>.php?article_id=8508&amp;navigationaction=industrynews&amp;newssection=industry</w:t>
        </w:r>
      </w:hyperlink>
      <w:r>
        <w:rPr>
          <w:rFonts w:cs="Times New Roman"/>
          <w:szCs w:val="17"/>
        </w:rPr>
        <w:t xml:space="preserve"> </w:t>
      </w:r>
      <w:r w:rsidRPr="00CC2D68">
        <w:rPr>
          <w:rFonts w:cs="Times New Roman"/>
          <w:b/>
          <w:bCs/>
          <w:szCs w:val="17"/>
        </w:rPr>
        <w:t>[</w:t>
      </w:r>
      <w:r w:rsidRPr="00CC2D68">
        <w:rPr>
          <w:rStyle w:val="Strong"/>
          <w:rFonts w:cs="Times New Roman"/>
          <w:b w:val="0"/>
          <w:bCs w:val="0"/>
          <w:szCs w:val="17"/>
          <w:shd w:val="clear" w:color="auto" w:fill="FFFFFF"/>
        </w:rPr>
        <w:t>https://perma.cc/2STX-KXH5].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DF7F" w14:textId="6FAAB64D" w:rsidR="00C242D9" w:rsidRDefault="00C242D9" w:rsidP="002D07B1">
    <w:pPr>
      <w:pStyle w:val="Header"/>
      <w:tabs>
        <w:tab w:val="right" w:pos="6480"/>
      </w:tabs>
      <w:spacing w:after="240"/>
      <w:ind w:firstLine="0"/>
    </w:pPr>
    <w:r>
      <w:fldChar w:fldCharType="begin"/>
    </w:r>
    <w:r>
      <w:instrText xml:space="preserve"> PAGE   \* MERGEFORMAT </w:instrText>
    </w:r>
    <w:r>
      <w:fldChar w:fldCharType="separate"/>
    </w:r>
    <w:r>
      <w:rPr>
        <w:noProof/>
      </w:rPr>
      <w:t>24</w:t>
    </w:r>
    <w:r>
      <w:rPr>
        <w:noProof/>
      </w:rPr>
      <w:fldChar w:fldCharType="end"/>
    </w:r>
    <w:r>
      <w:rPr>
        <w:noProof/>
      </w:rPr>
      <w:tab/>
    </w:r>
    <w:r w:rsidRPr="00245D36">
      <w:rPr>
        <w:smallCaps/>
        <w:noProof/>
      </w:rPr>
      <w:t>South Carolina Law Review</w:t>
    </w:r>
    <w:r>
      <w:rPr>
        <w:smallCaps/>
        <w:noProof/>
      </w:rPr>
      <w:tab/>
      <w:t>[Vol. 75: 343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1AF" w14:textId="4D0A888D" w:rsidR="00C242D9" w:rsidRDefault="00C242D9" w:rsidP="00357836">
    <w:pPr>
      <w:pStyle w:val="Header"/>
      <w:tabs>
        <w:tab w:val="clear" w:pos="2880"/>
        <w:tab w:val="center" w:pos="3420"/>
        <w:tab w:val="right" w:pos="6480"/>
      </w:tabs>
      <w:spacing w:after="240"/>
      <w:ind w:firstLine="0"/>
    </w:pPr>
    <w:r>
      <w:t>2023]</w:t>
    </w:r>
    <w:r>
      <w:tab/>
    </w:r>
    <w:r w:rsidRPr="00C40964">
      <w:rPr>
        <w:smallCaps/>
      </w:rPr>
      <w:t xml:space="preserve">Death </w:t>
    </w:r>
    <w:r>
      <w:rPr>
        <w:smallCaps/>
      </w:rPr>
      <w:t>o</w:t>
    </w:r>
    <w:r w:rsidRPr="00C40964">
      <w:rPr>
        <w:smallCaps/>
      </w:rPr>
      <w:t>f Aggressive Captive Insurance</w:t>
    </w:r>
    <w:r>
      <w:rPr>
        <w:smallCaps/>
      </w:rPr>
      <w:tab/>
    </w:r>
    <w:r w:rsidRPr="00545B9E">
      <w:rPr>
        <w:smallCaps/>
      </w:rPr>
      <w:fldChar w:fldCharType="begin"/>
    </w:r>
    <w:r w:rsidRPr="00545B9E">
      <w:rPr>
        <w:smallCaps/>
      </w:rPr>
      <w:instrText xml:space="preserve"> PAGE   \* MERGEFORMAT </w:instrText>
    </w:r>
    <w:r w:rsidRPr="00545B9E">
      <w:rPr>
        <w:smallCaps/>
      </w:rPr>
      <w:fldChar w:fldCharType="separate"/>
    </w:r>
    <w:r>
      <w:rPr>
        <w:smallCaps/>
        <w:noProof/>
      </w:rPr>
      <w:t>25</w:t>
    </w:r>
    <w:r w:rsidRPr="00545B9E">
      <w:rPr>
        <w:smallCap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B177" w14:textId="77777777" w:rsidR="00C242D9" w:rsidRDefault="00C242D9" w:rsidP="002D07B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4A58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046E0"/>
    <w:multiLevelType w:val="hybridMultilevel"/>
    <w:tmpl w:val="F098B862"/>
    <w:lvl w:ilvl="0" w:tplc="04462C0E">
      <w:start w:val="1"/>
      <w:numFmt w:val="upperRoman"/>
      <w:lvlText w:val="%1."/>
      <w:lvlJc w:val="left"/>
      <w:pPr>
        <w:ind w:left="720" w:hanging="720"/>
      </w:pPr>
      <w:rPr>
        <w:rFonts w:hint="default"/>
        <w:b/>
        <w:bCs/>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5FAA6B34">
      <w:start w:val="1"/>
      <w:numFmt w:val="lowerRoman"/>
      <w:lvlText w:val="(%7)"/>
      <w:lvlJc w:val="left"/>
      <w:pPr>
        <w:ind w:left="23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2143F"/>
    <w:multiLevelType w:val="hybridMultilevel"/>
    <w:tmpl w:val="9894E5FA"/>
    <w:lvl w:ilvl="0" w:tplc="BBD097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37249"/>
    <w:multiLevelType w:val="hybridMultilevel"/>
    <w:tmpl w:val="7B8E74E6"/>
    <w:lvl w:ilvl="0" w:tplc="3BD827F6">
      <w:start w:val="1"/>
      <w:numFmt w:val="upperLetter"/>
      <w:lvlText w:val="%1."/>
      <w:lvlJc w:val="left"/>
      <w:pPr>
        <w:ind w:left="72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F49B6"/>
    <w:multiLevelType w:val="hybridMultilevel"/>
    <w:tmpl w:val="286C1722"/>
    <w:lvl w:ilvl="0" w:tplc="7F346F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BD65E8"/>
    <w:multiLevelType w:val="hybridMultilevel"/>
    <w:tmpl w:val="62B2E29A"/>
    <w:lvl w:ilvl="0" w:tplc="EBC21C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8E19CF"/>
    <w:multiLevelType w:val="hybridMultilevel"/>
    <w:tmpl w:val="2DDCA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304E8"/>
    <w:multiLevelType w:val="hybridMultilevel"/>
    <w:tmpl w:val="532A0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04A0C"/>
    <w:multiLevelType w:val="hybridMultilevel"/>
    <w:tmpl w:val="17D0F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0973"/>
    <w:multiLevelType w:val="hybridMultilevel"/>
    <w:tmpl w:val="F40893D2"/>
    <w:lvl w:ilvl="0" w:tplc="2298891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88A70D9"/>
    <w:multiLevelType w:val="multilevel"/>
    <w:tmpl w:val="57F612AA"/>
    <w:lvl w:ilvl="0">
      <w:start w:val="1"/>
      <w:numFmt w:val="upperRoman"/>
      <w:pStyle w:val="Heading1"/>
      <w:lvlText w:val="%1."/>
      <w:lvlJc w:val="left"/>
      <w:pPr>
        <w:tabs>
          <w:tab w:val="num" w:pos="360"/>
        </w:tabs>
        <w:ind w:left="360" w:hanging="360"/>
      </w:pPr>
      <w:rPr>
        <w:rFonts w:ascii="Times New Roman" w:hAnsi="Times New Roman" w:hint="default"/>
        <w:b w:val="0"/>
        <w:i w:val="0"/>
        <w:sz w:val="21"/>
      </w:rPr>
    </w:lvl>
    <w:lvl w:ilvl="1">
      <w:start w:val="1"/>
      <w:numFmt w:val="upperLetter"/>
      <w:pStyle w:val="Heading2"/>
      <w:lvlText w:val="%2."/>
      <w:lvlJc w:val="left"/>
      <w:pPr>
        <w:tabs>
          <w:tab w:val="num" w:pos="720"/>
        </w:tabs>
        <w:ind w:left="720" w:hanging="360"/>
      </w:pPr>
      <w:rPr>
        <w:rFonts w:ascii="Times New Roman Italic" w:hAnsi="Times New Roman Italic" w:hint="default"/>
        <w:b w:val="0"/>
        <w:i/>
        <w:sz w:val="21"/>
      </w:rPr>
    </w:lvl>
    <w:lvl w:ilvl="2">
      <w:start w:val="1"/>
      <w:numFmt w:val="decimal"/>
      <w:pStyle w:val="Heading3"/>
      <w:lvlText w:val="%3."/>
      <w:lvlJc w:val="left"/>
      <w:pPr>
        <w:tabs>
          <w:tab w:val="num" w:pos="1080"/>
        </w:tabs>
        <w:ind w:left="1080" w:hanging="360"/>
      </w:pPr>
      <w:rPr>
        <w:rFonts w:ascii="Times New Roman Italic" w:hAnsi="Times New Roman Italic" w:hint="default"/>
        <w:b w:val="0"/>
        <w:i/>
        <w:sz w:val="21"/>
      </w:rPr>
    </w:lvl>
    <w:lvl w:ilvl="3">
      <w:start w:val="1"/>
      <w:numFmt w:val="lowerLetter"/>
      <w:pStyle w:val="Heading4"/>
      <w:lvlText w:val="%4."/>
      <w:lvlJc w:val="left"/>
      <w:pPr>
        <w:tabs>
          <w:tab w:val="num" w:pos="1440"/>
        </w:tabs>
        <w:ind w:left="1440" w:hanging="360"/>
      </w:pPr>
      <w:rPr>
        <w:rFonts w:ascii="Times New Roman Italic" w:hAnsi="Times New Roman Italic" w:hint="default"/>
        <w:b w:val="0"/>
        <w:i/>
        <w:sz w:val="21"/>
      </w:rPr>
    </w:lvl>
    <w:lvl w:ilvl="4">
      <w:start w:val="1"/>
      <w:numFmt w:val="lowerRoman"/>
      <w:pStyle w:val="Heading5"/>
      <w:lvlText w:val="%5."/>
      <w:lvlJc w:val="left"/>
      <w:pPr>
        <w:tabs>
          <w:tab w:val="num" w:pos="1800"/>
        </w:tabs>
        <w:ind w:left="1800" w:hanging="360"/>
      </w:pPr>
      <w:rPr>
        <w:rFonts w:ascii="Times New Roman Italic" w:hAnsi="Times New Roman Italic" w:hint="default"/>
        <w:b w:val="0"/>
        <w:i/>
        <w:sz w:val="21"/>
      </w:rPr>
    </w:lvl>
    <w:lvl w:ilvl="5">
      <w:start w:val="1"/>
      <w:numFmt w:val="lowerLetter"/>
      <w:pStyle w:val="Heading6"/>
      <w:lvlText w:val="(%6)"/>
      <w:lvlJc w:val="left"/>
      <w:pPr>
        <w:tabs>
          <w:tab w:val="num" w:pos="2160"/>
        </w:tabs>
        <w:ind w:left="2160" w:hanging="360"/>
      </w:pPr>
      <w:rPr>
        <w:rFonts w:ascii="Times New Roman" w:hAnsi="Times New Roman" w:hint="default"/>
        <w:b w:val="0"/>
        <w:i w:val="0"/>
        <w:sz w:val="21"/>
      </w:rPr>
    </w:lvl>
    <w:lvl w:ilvl="6">
      <w:start w:val="1"/>
      <w:numFmt w:val="decimal"/>
      <w:pStyle w:val="Heading7"/>
      <w:lvlText w:val="(%7)"/>
      <w:lvlJc w:val="left"/>
      <w:pPr>
        <w:tabs>
          <w:tab w:val="num" w:pos="2520"/>
        </w:tabs>
        <w:ind w:left="2520" w:hanging="360"/>
      </w:pPr>
      <w:rPr>
        <w:rFonts w:ascii="Times New Roman" w:hAnsi="Times New Roman" w:hint="default"/>
        <w:b w:val="0"/>
        <w:i w:val="0"/>
        <w:sz w:val="2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9D513F"/>
    <w:multiLevelType w:val="hybridMultilevel"/>
    <w:tmpl w:val="9F9EF780"/>
    <w:lvl w:ilvl="0" w:tplc="51243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2118D"/>
    <w:multiLevelType w:val="hybridMultilevel"/>
    <w:tmpl w:val="00A8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416"/>
    <w:multiLevelType w:val="hybridMultilevel"/>
    <w:tmpl w:val="B86EE2C2"/>
    <w:lvl w:ilvl="0" w:tplc="CC461D0A">
      <w:start w:val="1"/>
      <w:numFmt w:val="lowerRoman"/>
      <w:lvlText w:val="(%1)"/>
      <w:lvlJc w:val="left"/>
      <w:pPr>
        <w:ind w:left="1440" w:hanging="720"/>
      </w:pPr>
      <w:rPr>
        <w:rFonts w:hint="default"/>
        <w:b/>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263FE"/>
    <w:multiLevelType w:val="hybridMultilevel"/>
    <w:tmpl w:val="E2987972"/>
    <w:lvl w:ilvl="0" w:tplc="69AEB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027E8"/>
    <w:multiLevelType w:val="hybridMultilevel"/>
    <w:tmpl w:val="FFE47B66"/>
    <w:lvl w:ilvl="0" w:tplc="08DAD16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7936DE"/>
    <w:multiLevelType w:val="hybridMultilevel"/>
    <w:tmpl w:val="3220643C"/>
    <w:lvl w:ilvl="0" w:tplc="BBE0317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1C5AD3"/>
    <w:multiLevelType w:val="hybridMultilevel"/>
    <w:tmpl w:val="8E3C02BC"/>
    <w:lvl w:ilvl="0" w:tplc="9B8E1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A6B4F"/>
    <w:multiLevelType w:val="hybridMultilevel"/>
    <w:tmpl w:val="5086A5A2"/>
    <w:lvl w:ilvl="0" w:tplc="5FB05F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EE58F5"/>
    <w:multiLevelType w:val="hybridMultilevel"/>
    <w:tmpl w:val="26607756"/>
    <w:lvl w:ilvl="0" w:tplc="1FCE99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C75BAC"/>
    <w:multiLevelType w:val="hybridMultilevel"/>
    <w:tmpl w:val="CE261136"/>
    <w:lvl w:ilvl="0" w:tplc="F6688F66">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EAA7A80"/>
    <w:multiLevelType w:val="hybridMultilevel"/>
    <w:tmpl w:val="587261EC"/>
    <w:lvl w:ilvl="0" w:tplc="5A48F8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2D6450"/>
    <w:multiLevelType w:val="hybridMultilevel"/>
    <w:tmpl w:val="328A329C"/>
    <w:lvl w:ilvl="0" w:tplc="DEEEE3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CC50A9"/>
    <w:multiLevelType w:val="hybridMultilevel"/>
    <w:tmpl w:val="C8A26E9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4E115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848056821">
    <w:abstractNumId w:val="10"/>
  </w:num>
  <w:num w:numId="2" w16cid:durableId="703364591">
    <w:abstractNumId w:val="1"/>
  </w:num>
  <w:num w:numId="3" w16cid:durableId="1362632160">
    <w:abstractNumId w:val="0"/>
  </w:num>
  <w:num w:numId="4" w16cid:durableId="416679960">
    <w:abstractNumId w:val="20"/>
  </w:num>
  <w:num w:numId="5" w16cid:durableId="2077632304">
    <w:abstractNumId w:val="9"/>
  </w:num>
  <w:num w:numId="6" w16cid:durableId="1220705569">
    <w:abstractNumId w:val="11"/>
  </w:num>
  <w:num w:numId="7" w16cid:durableId="1186944200">
    <w:abstractNumId w:val="15"/>
  </w:num>
  <w:num w:numId="8" w16cid:durableId="1404446145">
    <w:abstractNumId w:val="5"/>
  </w:num>
  <w:num w:numId="9" w16cid:durableId="40056315">
    <w:abstractNumId w:val="21"/>
  </w:num>
  <w:num w:numId="10" w16cid:durableId="1565019543">
    <w:abstractNumId w:val="12"/>
  </w:num>
  <w:num w:numId="11" w16cid:durableId="357852885">
    <w:abstractNumId w:val="4"/>
  </w:num>
  <w:num w:numId="12" w16cid:durableId="1849250240">
    <w:abstractNumId w:val="18"/>
  </w:num>
  <w:num w:numId="13" w16cid:durableId="1114636657">
    <w:abstractNumId w:val="16"/>
  </w:num>
  <w:num w:numId="14" w16cid:durableId="1594047706">
    <w:abstractNumId w:val="3"/>
  </w:num>
  <w:num w:numId="15" w16cid:durableId="244192705">
    <w:abstractNumId w:val="13"/>
  </w:num>
  <w:num w:numId="16" w16cid:durableId="298806853">
    <w:abstractNumId w:val="8"/>
  </w:num>
  <w:num w:numId="17" w16cid:durableId="1703821333">
    <w:abstractNumId w:val="22"/>
  </w:num>
  <w:num w:numId="18" w16cid:durableId="428813729">
    <w:abstractNumId w:val="2"/>
  </w:num>
  <w:num w:numId="19" w16cid:durableId="492792892">
    <w:abstractNumId w:val="6"/>
  </w:num>
  <w:num w:numId="20" w16cid:durableId="1213925220">
    <w:abstractNumId w:val="19"/>
  </w:num>
  <w:num w:numId="21" w16cid:durableId="1871869878">
    <w:abstractNumId w:val="7"/>
  </w:num>
  <w:num w:numId="22" w16cid:durableId="688410728">
    <w:abstractNumId w:val="17"/>
  </w:num>
  <w:num w:numId="23" w16cid:durableId="1306348868">
    <w:abstractNumId w:val="14"/>
  </w:num>
  <w:num w:numId="24" w16cid:durableId="1968078426">
    <w:abstractNumId w:val="23"/>
  </w:num>
  <w:num w:numId="25" w16cid:durableId="18520616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7A"/>
    <w:rsid w:val="00014AF1"/>
    <w:rsid w:val="000256B2"/>
    <w:rsid w:val="00027492"/>
    <w:rsid w:val="00037108"/>
    <w:rsid w:val="000651D8"/>
    <w:rsid w:val="00083F2E"/>
    <w:rsid w:val="000A7C9B"/>
    <w:rsid w:val="000B30D7"/>
    <w:rsid w:val="000B33A6"/>
    <w:rsid w:val="000E1BB0"/>
    <w:rsid w:val="00117C74"/>
    <w:rsid w:val="00137D9B"/>
    <w:rsid w:val="00177055"/>
    <w:rsid w:val="001835EB"/>
    <w:rsid w:val="001B6195"/>
    <w:rsid w:val="001B6574"/>
    <w:rsid w:val="002113DA"/>
    <w:rsid w:val="00213FF4"/>
    <w:rsid w:val="00222F8E"/>
    <w:rsid w:val="002537D2"/>
    <w:rsid w:val="002651E9"/>
    <w:rsid w:val="002C394B"/>
    <w:rsid w:val="002D07B1"/>
    <w:rsid w:val="00357836"/>
    <w:rsid w:val="003629E1"/>
    <w:rsid w:val="003649A1"/>
    <w:rsid w:val="00375E05"/>
    <w:rsid w:val="003877B9"/>
    <w:rsid w:val="003913E2"/>
    <w:rsid w:val="003A4D65"/>
    <w:rsid w:val="003D41EC"/>
    <w:rsid w:val="003D575D"/>
    <w:rsid w:val="00402728"/>
    <w:rsid w:val="00425B10"/>
    <w:rsid w:val="00434151"/>
    <w:rsid w:val="004B2795"/>
    <w:rsid w:val="00513040"/>
    <w:rsid w:val="00514E99"/>
    <w:rsid w:val="00541A30"/>
    <w:rsid w:val="005B517A"/>
    <w:rsid w:val="005E1AFD"/>
    <w:rsid w:val="00673466"/>
    <w:rsid w:val="00680881"/>
    <w:rsid w:val="00692EB3"/>
    <w:rsid w:val="006D00B3"/>
    <w:rsid w:val="0071269A"/>
    <w:rsid w:val="00750FAE"/>
    <w:rsid w:val="007821FB"/>
    <w:rsid w:val="007A66D5"/>
    <w:rsid w:val="007E132E"/>
    <w:rsid w:val="008B6425"/>
    <w:rsid w:val="008C5B4A"/>
    <w:rsid w:val="00915511"/>
    <w:rsid w:val="00916A1E"/>
    <w:rsid w:val="009746DE"/>
    <w:rsid w:val="009921F4"/>
    <w:rsid w:val="00993653"/>
    <w:rsid w:val="009B7D16"/>
    <w:rsid w:val="009D0075"/>
    <w:rsid w:val="009D77E7"/>
    <w:rsid w:val="00A44FCE"/>
    <w:rsid w:val="00A46AE6"/>
    <w:rsid w:val="00AA017E"/>
    <w:rsid w:val="00AC3812"/>
    <w:rsid w:val="00AC7967"/>
    <w:rsid w:val="00B36D7A"/>
    <w:rsid w:val="00B77473"/>
    <w:rsid w:val="00BC3FCA"/>
    <w:rsid w:val="00C242D9"/>
    <w:rsid w:val="00C25771"/>
    <w:rsid w:val="00C30B8E"/>
    <w:rsid w:val="00C40964"/>
    <w:rsid w:val="00C74897"/>
    <w:rsid w:val="00C77E04"/>
    <w:rsid w:val="00CC2D68"/>
    <w:rsid w:val="00CF290D"/>
    <w:rsid w:val="00D62F8B"/>
    <w:rsid w:val="00E87A31"/>
    <w:rsid w:val="00EB4202"/>
    <w:rsid w:val="00EB49AC"/>
    <w:rsid w:val="00F51FF3"/>
    <w:rsid w:val="00F5504E"/>
    <w:rsid w:val="00F575C3"/>
    <w:rsid w:val="00F92C9A"/>
    <w:rsid w:val="00F94D28"/>
    <w:rsid w:val="00FC0B11"/>
    <w:rsid w:val="00FD780D"/>
    <w:rsid w:val="00FF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F87FB"/>
  <w15:chartTrackingRefBased/>
  <w15:docId w15:val="{8DD0AED2-049F-864E-BF25-0FA6E857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19"/>
    <w:qFormat/>
    <w:rsid w:val="005B517A"/>
    <w:pPr>
      <w:ind w:firstLine="360"/>
      <w:jc w:val="both"/>
    </w:pPr>
    <w:rPr>
      <w:rFonts w:cstheme="minorBidi"/>
      <w:kern w:val="0"/>
      <w:sz w:val="21"/>
      <w:szCs w:val="22"/>
      <w14:ligatures w14:val="none"/>
    </w:rPr>
  </w:style>
  <w:style w:type="paragraph" w:styleId="Heading1">
    <w:name w:val="heading 1"/>
    <w:aliases w:val="Heading 1 T19"/>
    <w:basedOn w:val="Normal"/>
    <w:next w:val="Normal"/>
    <w:link w:val="Heading1Char"/>
    <w:uiPriority w:val="9"/>
    <w:qFormat/>
    <w:rsid w:val="005B517A"/>
    <w:pPr>
      <w:keepNext/>
      <w:numPr>
        <w:numId w:val="1"/>
      </w:numPr>
      <w:spacing w:before="240" w:after="240"/>
      <w:outlineLvl w:val="0"/>
    </w:pPr>
    <w:rPr>
      <w:rFonts w:eastAsiaTheme="majorEastAsia" w:cstheme="majorBidi"/>
      <w:smallCaps/>
      <w:szCs w:val="32"/>
    </w:rPr>
  </w:style>
  <w:style w:type="paragraph" w:styleId="Heading2">
    <w:name w:val="heading 2"/>
    <w:aliases w:val="Heading 2 T19"/>
    <w:basedOn w:val="Normal"/>
    <w:next w:val="Normal"/>
    <w:link w:val="Heading2Char"/>
    <w:uiPriority w:val="9"/>
    <w:qFormat/>
    <w:rsid w:val="005B517A"/>
    <w:pPr>
      <w:keepNext/>
      <w:numPr>
        <w:ilvl w:val="1"/>
        <w:numId w:val="1"/>
      </w:numPr>
      <w:spacing w:before="240" w:after="240"/>
      <w:outlineLvl w:val="1"/>
    </w:pPr>
    <w:rPr>
      <w:rFonts w:eastAsiaTheme="majorEastAsia" w:cstheme="majorBidi"/>
      <w:i/>
      <w:szCs w:val="26"/>
    </w:rPr>
  </w:style>
  <w:style w:type="paragraph" w:styleId="Heading3">
    <w:name w:val="heading 3"/>
    <w:aliases w:val="Heading 3 T19"/>
    <w:basedOn w:val="Normal"/>
    <w:next w:val="Normal"/>
    <w:link w:val="Heading3Char"/>
    <w:uiPriority w:val="9"/>
    <w:qFormat/>
    <w:rsid w:val="005B517A"/>
    <w:pPr>
      <w:keepNext/>
      <w:numPr>
        <w:ilvl w:val="2"/>
        <w:numId w:val="1"/>
      </w:numPr>
      <w:spacing w:before="240" w:after="240"/>
      <w:outlineLvl w:val="2"/>
    </w:pPr>
    <w:rPr>
      <w:rFonts w:eastAsiaTheme="majorEastAsia" w:cstheme="majorBidi"/>
      <w:i/>
      <w:szCs w:val="24"/>
    </w:rPr>
  </w:style>
  <w:style w:type="paragraph" w:styleId="Heading4">
    <w:name w:val="heading 4"/>
    <w:aliases w:val="Heading 4 T19"/>
    <w:basedOn w:val="Normal"/>
    <w:next w:val="Normal"/>
    <w:link w:val="Heading4Char"/>
    <w:uiPriority w:val="9"/>
    <w:qFormat/>
    <w:rsid w:val="005B517A"/>
    <w:pPr>
      <w:keepNext/>
      <w:numPr>
        <w:ilvl w:val="3"/>
        <w:numId w:val="1"/>
      </w:numPr>
      <w:spacing w:before="240" w:after="240"/>
      <w:outlineLvl w:val="3"/>
    </w:pPr>
    <w:rPr>
      <w:rFonts w:eastAsiaTheme="majorEastAsia" w:cstheme="majorBidi"/>
      <w:i/>
      <w:iCs/>
    </w:rPr>
  </w:style>
  <w:style w:type="paragraph" w:styleId="Heading5">
    <w:name w:val="heading 5"/>
    <w:aliases w:val="Heading 5 T19"/>
    <w:basedOn w:val="Normal"/>
    <w:next w:val="Normal"/>
    <w:link w:val="Heading5Char"/>
    <w:uiPriority w:val="9"/>
    <w:qFormat/>
    <w:rsid w:val="005B517A"/>
    <w:pPr>
      <w:keepNext/>
      <w:numPr>
        <w:ilvl w:val="4"/>
        <w:numId w:val="1"/>
      </w:numPr>
      <w:spacing w:before="240" w:after="240"/>
      <w:outlineLvl w:val="4"/>
    </w:pPr>
    <w:rPr>
      <w:rFonts w:eastAsiaTheme="majorEastAsia" w:cstheme="majorBidi"/>
      <w:i/>
    </w:rPr>
  </w:style>
  <w:style w:type="paragraph" w:styleId="Heading6">
    <w:name w:val="heading 6"/>
    <w:aliases w:val="Heading 6 T19"/>
    <w:basedOn w:val="Normal"/>
    <w:next w:val="Normal"/>
    <w:link w:val="Heading6Char"/>
    <w:uiPriority w:val="9"/>
    <w:qFormat/>
    <w:rsid w:val="005B517A"/>
    <w:pPr>
      <w:keepNext/>
      <w:numPr>
        <w:ilvl w:val="5"/>
        <w:numId w:val="1"/>
      </w:numPr>
      <w:spacing w:before="240" w:after="240"/>
      <w:outlineLvl w:val="5"/>
    </w:pPr>
    <w:rPr>
      <w:rFonts w:eastAsiaTheme="majorEastAsia" w:cstheme="majorBidi"/>
      <w:i/>
    </w:rPr>
  </w:style>
  <w:style w:type="paragraph" w:styleId="Heading7">
    <w:name w:val="heading 7"/>
    <w:aliases w:val="Heading 7 T19"/>
    <w:basedOn w:val="Normal"/>
    <w:next w:val="Normal"/>
    <w:link w:val="Heading7Char"/>
    <w:uiPriority w:val="9"/>
    <w:qFormat/>
    <w:rsid w:val="005B517A"/>
    <w:pPr>
      <w:keepNext/>
      <w:numPr>
        <w:ilvl w:val="6"/>
        <w:numId w:val="1"/>
      </w:numPr>
      <w:spacing w:before="240" w:after="2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B517A"/>
    <w:pPr>
      <w:keepNext/>
      <w:keepLines/>
      <w:spacing w:before="40"/>
      <w:ind w:left="5040" w:firstLine="0"/>
      <w:jc w:val="left"/>
      <w:outlineLvl w:val="7"/>
    </w:pPr>
    <w:rPr>
      <w:rFonts w:asciiTheme="majorHAnsi" w:eastAsiaTheme="majorEastAsia" w:hAnsiTheme="majorHAnsi" w:cstheme="majorBidi"/>
      <w:color w:val="272727" w:themeColor="text1" w:themeTint="D8"/>
      <w:kern w:val="2"/>
      <w:szCs w:val="21"/>
      <w14:ligatures w14:val="standardContextual"/>
    </w:rPr>
  </w:style>
  <w:style w:type="paragraph" w:styleId="Heading9">
    <w:name w:val="heading 9"/>
    <w:basedOn w:val="Normal"/>
    <w:next w:val="Normal"/>
    <w:link w:val="Heading9Char"/>
    <w:uiPriority w:val="9"/>
    <w:semiHidden/>
    <w:unhideWhenUsed/>
    <w:qFormat/>
    <w:rsid w:val="005B517A"/>
    <w:pPr>
      <w:keepNext/>
      <w:keepLines/>
      <w:spacing w:before="40"/>
      <w:ind w:left="5760" w:firstLine="0"/>
      <w:jc w:val="left"/>
      <w:outlineLvl w:val="8"/>
    </w:pPr>
    <w:rPr>
      <w:rFonts w:asciiTheme="majorHAnsi" w:eastAsiaTheme="majorEastAsia" w:hAnsiTheme="majorHAnsi" w:cstheme="majorBidi"/>
      <w:i/>
      <w:iCs/>
      <w:color w:val="272727" w:themeColor="text1" w:themeTint="D8"/>
      <w:kern w:val="2"/>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19 Char"/>
    <w:basedOn w:val="DefaultParagraphFont"/>
    <w:link w:val="Heading1"/>
    <w:uiPriority w:val="9"/>
    <w:rsid w:val="005B517A"/>
    <w:rPr>
      <w:rFonts w:eastAsiaTheme="majorEastAsia" w:cstheme="majorBidi"/>
      <w:smallCaps/>
      <w:kern w:val="0"/>
      <w:sz w:val="21"/>
      <w:szCs w:val="32"/>
      <w14:ligatures w14:val="none"/>
    </w:rPr>
  </w:style>
  <w:style w:type="character" w:customStyle="1" w:styleId="Heading2Char">
    <w:name w:val="Heading 2 Char"/>
    <w:aliases w:val="Heading 2 T19 Char"/>
    <w:basedOn w:val="DefaultParagraphFont"/>
    <w:link w:val="Heading2"/>
    <w:uiPriority w:val="9"/>
    <w:rsid w:val="005B517A"/>
    <w:rPr>
      <w:rFonts w:eastAsiaTheme="majorEastAsia" w:cstheme="majorBidi"/>
      <w:i/>
      <w:kern w:val="0"/>
      <w:sz w:val="21"/>
      <w:szCs w:val="26"/>
      <w14:ligatures w14:val="none"/>
    </w:rPr>
  </w:style>
  <w:style w:type="character" w:customStyle="1" w:styleId="Heading3Char">
    <w:name w:val="Heading 3 Char"/>
    <w:aliases w:val="Heading 3 T19 Char"/>
    <w:basedOn w:val="DefaultParagraphFont"/>
    <w:link w:val="Heading3"/>
    <w:uiPriority w:val="9"/>
    <w:rsid w:val="005B517A"/>
    <w:rPr>
      <w:rFonts w:eastAsiaTheme="majorEastAsia" w:cstheme="majorBidi"/>
      <w:i/>
      <w:kern w:val="0"/>
      <w:sz w:val="21"/>
      <w14:ligatures w14:val="none"/>
    </w:rPr>
  </w:style>
  <w:style w:type="character" w:customStyle="1" w:styleId="Heading4Char">
    <w:name w:val="Heading 4 Char"/>
    <w:aliases w:val="Heading 4 T19 Char"/>
    <w:basedOn w:val="DefaultParagraphFont"/>
    <w:link w:val="Heading4"/>
    <w:uiPriority w:val="9"/>
    <w:rsid w:val="005B517A"/>
    <w:rPr>
      <w:rFonts w:eastAsiaTheme="majorEastAsia" w:cstheme="majorBidi"/>
      <w:i/>
      <w:iCs/>
      <w:kern w:val="0"/>
      <w:sz w:val="21"/>
      <w:szCs w:val="22"/>
      <w14:ligatures w14:val="none"/>
    </w:rPr>
  </w:style>
  <w:style w:type="character" w:customStyle="1" w:styleId="Heading5Char">
    <w:name w:val="Heading 5 Char"/>
    <w:aliases w:val="Heading 5 T19 Char"/>
    <w:basedOn w:val="DefaultParagraphFont"/>
    <w:link w:val="Heading5"/>
    <w:uiPriority w:val="9"/>
    <w:rsid w:val="005B517A"/>
    <w:rPr>
      <w:rFonts w:eastAsiaTheme="majorEastAsia" w:cstheme="majorBidi"/>
      <w:i/>
      <w:kern w:val="0"/>
      <w:sz w:val="21"/>
      <w:szCs w:val="22"/>
      <w14:ligatures w14:val="none"/>
    </w:rPr>
  </w:style>
  <w:style w:type="character" w:customStyle="1" w:styleId="Heading6Char">
    <w:name w:val="Heading 6 Char"/>
    <w:aliases w:val="Heading 6 T19 Char"/>
    <w:basedOn w:val="DefaultParagraphFont"/>
    <w:link w:val="Heading6"/>
    <w:uiPriority w:val="9"/>
    <w:rsid w:val="005B517A"/>
    <w:rPr>
      <w:rFonts w:eastAsiaTheme="majorEastAsia" w:cstheme="majorBidi"/>
      <w:i/>
      <w:kern w:val="0"/>
      <w:sz w:val="21"/>
      <w:szCs w:val="22"/>
      <w14:ligatures w14:val="none"/>
    </w:rPr>
  </w:style>
  <w:style w:type="character" w:customStyle="1" w:styleId="Heading7Char">
    <w:name w:val="Heading 7 Char"/>
    <w:aliases w:val="Heading 7 T19 Char"/>
    <w:basedOn w:val="DefaultParagraphFont"/>
    <w:link w:val="Heading7"/>
    <w:uiPriority w:val="9"/>
    <w:rsid w:val="005B517A"/>
    <w:rPr>
      <w:rFonts w:eastAsiaTheme="majorEastAsia" w:cstheme="majorBidi"/>
      <w:i/>
      <w:iCs/>
      <w:kern w:val="0"/>
      <w:sz w:val="21"/>
      <w:szCs w:val="22"/>
      <w14:ligatures w14:val="none"/>
    </w:rPr>
  </w:style>
  <w:style w:type="character" w:customStyle="1" w:styleId="Heading8Char">
    <w:name w:val="Heading 8 Char"/>
    <w:basedOn w:val="DefaultParagraphFont"/>
    <w:link w:val="Heading8"/>
    <w:uiPriority w:val="9"/>
    <w:semiHidden/>
    <w:rsid w:val="005B51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517A"/>
    <w:rPr>
      <w:rFonts w:asciiTheme="majorHAnsi" w:eastAsiaTheme="majorEastAsia" w:hAnsiTheme="majorHAnsi" w:cstheme="majorBidi"/>
      <w:i/>
      <w:iCs/>
      <w:color w:val="272727" w:themeColor="text1" w:themeTint="D8"/>
      <w:sz w:val="21"/>
      <w:szCs w:val="21"/>
    </w:rPr>
  </w:style>
  <w:style w:type="paragraph" w:styleId="EnvelopeAddress">
    <w:name w:val="envelope address"/>
    <w:basedOn w:val="Normal"/>
    <w:uiPriority w:val="99"/>
    <w:semiHidden/>
    <w:unhideWhenUsed/>
    <w:rsid w:val="005B517A"/>
    <w:pPr>
      <w:framePr w:w="7920" w:h="1980" w:hRule="exact" w:hSpace="180" w:wrap="auto" w:hAnchor="page" w:xAlign="center" w:yAlign="bottom"/>
      <w:ind w:left="2880"/>
    </w:pPr>
    <w:rPr>
      <w:rFonts w:eastAsiaTheme="majorEastAsia" w:cstheme="majorBidi"/>
      <w:szCs w:val="24"/>
    </w:rPr>
  </w:style>
  <w:style w:type="paragraph" w:styleId="Title">
    <w:name w:val="Title"/>
    <w:aliases w:val="Title T19"/>
    <w:basedOn w:val="Normal"/>
    <w:next w:val="Normal"/>
    <w:link w:val="TitleChar"/>
    <w:uiPriority w:val="10"/>
    <w:qFormat/>
    <w:rsid w:val="005B517A"/>
    <w:pPr>
      <w:spacing w:after="240"/>
      <w:ind w:firstLine="0"/>
      <w:jc w:val="center"/>
    </w:pPr>
    <w:rPr>
      <w:rFonts w:ascii="Times New Roman Bold" w:eastAsiaTheme="majorEastAsia" w:hAnsi="Times New Roman Bold" w:cstheme="majorBidi"/>
      <w:b/>
      <w:smallCaps/>
      <w:kern w:val="28"/>
      <w:szCs w:val="56"/>
    </w:rPr>
  </w:style>
  <w:style w:type="character" w:customStyle="1" w:styleId="TitleChar">
    <w:name w:val="Title Char"/>
    <w:aliases w:val="Title T19 Char"/>
    <w:basedOn w:val="DefaultParagraphFont"/>
    <w:link w:val="Title"/>
    <w:uiPriority w:val="10"/>
    <w:rsid w:val="005B517A"/>
    <w:rPr>
      <w:rFonts w:ascii="Times New Roman Bold" w:eastAsiaTheme="majorEastAsia" w:hAnsi="Times New Roman Bold" w:cstheme="majorBidi"/>
      <w:b/>
      <w:smallCaps/>
      <w:kern w:val="28"/>
      <w:sz w:val="21"/>
      <w:szCs w:val="56"/>
      <w14:ligatures w14:val="none"/>
    </w:rPr>
  </w:style>
  <w:style w:type="paragraph" w:styleId="Quote">
    <w:name w:val="Quote"/>
    <w:aliases w:val="Quote Flush Left T19"/>
    <w:basedOn w:val="Normal"/>
    <w:next w:val="Normal"/>
    <w:link w:val="QuoteChar"/>
    <w:uiPriority w:val="29"/>
    <w:qFormat/>
    <w:rsid w:val="005B517A"/>
    <w:pPr>
      <w:spacing w:before="240" w:after="240"/>
      <w:ind w:left="360" w:right="360" w:firstLine="0"/>
    </w:pPr>
    <w:rPr>
      <w:iCs/>
    </w:rPr>
  </w:style>
  <w:style w:type="character" w:customStyle="1" w:styleId="QuoteChar">
    <w:name w:val="Quote Char"/>
    <w:aliases w:val="Quote Flush Left T19 Char"/>
    <w:basedOn w:val="DefaultParagraphFont"/>
    <w:link w:val="Quote"/>
    <w:uiPriority w:val="29"/>
    <w:rsid w:val="005B517A"/>
    <w:rPr>
      <w:rFonts w:cstheme="minorBidi"/>
      <w:iCs/>
      <w:kern w:val="0"/>
      <w:sz w:val="21"/>
      <w:szCs w:val="22"/>
      <w14:ligatures w14:val="none"/>
    </w:rPr>
  </w:style>
  <w:style w:type="paragraph" w:customStyle="1" w:styleId="QuoteFirstLineIndentT19">
    <w:name w:val="Quote First Line Indent T19"/>
    <w:basedOn w:val="Quote"/>
    <w:qFormat/>
    <w:rsid w:val="005B517A"/>
    <w:pPr>
      <w:ind w:firstLine="360"/>
    </w:pPr>
  </w:style>
  <w:style w:type="paragraph" w:customStyle="1" w:styleId="AbstractTextT19">
    <w:name w:val="Abstract Text T19"/>
    <w:basedOn w:val="Quote"/>
    <w:qFormat/>
    <w:rsid w:val="005B517A"/>
    <w:pPr>
      <w:spacing w:before="0" w:after="120"/>
    </w:pPr>
    <w:rPr>
      <w:i/>
    </w:rPr>
  </w:style>
  <w:style w:type="paragraph" w:customStyle="1" w:styleId="BylineT19">
    <w:name w:val="Byline T19"/>
    <w:basedOn w:val="Normal"/>
    <w:qFormat/>
    <w:rsid w:val="005B517A"/>
    <w:pPr>
      <w:spacing w:before="240" w:after="240"/>
      <w:ind w:firstLine="0"/>
      <w:jc w:val="center"/>
    </w:pPr>
  </w:style>
  <w:style w:type="paragraph" w:styleId="FootnoteText">
    <w:name w:val="footnote text"/>
    <w:aliases w:val="Footnote Text T19"/>
    <w:basedOn w:val="Normal"/>
    <w:link w:val="FootnoteTextChar"/>
    <w:uiPriority w:val="99"/>
    <w:rsid w:val="005B517A"/>
    <w:pPr>
      <w:tabs>
        <w:tab w:val="left" w:pos="360"/>
      </w:tabs>
    </w:pPr>
    <w:rPr>
      <w:sz w:val="17"/>
      <w:szCs w:val="20"/>
    </w:rPr>
  </w:style>
  <w:style w:type="character" w:customStyle="1" w:styleId="FootnoteTextChar">
    <w:name w:val="Footnote Text Char"/>
    <w:aliases w:val="Footnote Text T19 Char"/>
    <w:basedOn w:val="DefaultParagraphFont"/>
    <w:link w:val="FootnoteText"/>
    <w:uiPriority w:val="99"/>
    <w:rsid w:val="005B517A"/>
    <w:rPr>
      <w:rFonts w:cstheme="minorBidi"/>
      <w:kern w:val="0"/>
      <w:sz w:val="17"/>
      <w:szCs w:val="20"/>
      <w14:ligatures w14:val="none"/>
    </w:rPr>
  </w:style>
  <w:style w:type="paragraph" w:customStyle="1" w:styleId="FNQuoteFlushLeftT19">
    <w:name w:val="FNQuote Flush Left T19"/>
    <w:basedOn w:val="FootnoteText"/>
    <w:qFormat/>
    <w:rsid w:val="005B517A"/>
    <w:pPr>
      <w:ind w:left="360" w:right="360" w:firstLine="0"/>
    </w:pPr>
  </w:style>
  <w:style w:type="paragraph" w:customStyle="1" w:styleId="FNQuoteFirstLineIndentT19">
    <w:name w:val="FNQuote First Line Indent T19"/>
    <w:basedOn w:val="FNQuoteFlushLeftT19"/>
    <w:qFormat/>
    <w:rsid w:val="005B517A"/>
    <w:pPr>
      <w:ind w:firstLine="360"/>
    </w:pPr>
  </w:style>
  <w:style w:type="character" w:styleId="FootnoteReference">
    <w:name w:val="footnote reference"/>
    <w:aliases w:val="Footnote Reference T19"/>
    <w:basedOn w:val="DefaultParagraphFont"/>
    <w:uiPriority w:val="99"/>
    <w:rsid w:val="005B517A"/>
    <w:rPr>
      <w:rFonts w:ascii="Times New Roman" w:hAnsi="Times New Roman"/>
      <w:sz w:val="21"/>
      <w:vertAlign w:val="superscript"/>
    </w:rPr>
  </w:style>
  <w:style w:type="character" w:styleId="FollowedHyperlink">
    <w:name w:val="FollowedHyperlink"/>
    <w:aliases w:val="FollowedHyperlink T19"/>
    <w:basedOn w:val="DefaultParagraphFont"/>
    <w:uiPriority w:val="99"/>
    <w:rsid w:val="005B517A"/>
    <w:rPr>
      <w:rFonts w:ascii="Times New Roman" w:hAnsi="Times New Roman"/>
      <w:color w:val="auto"/>
      <w:sz w:val="17"/>
      <w:u w:val="none"/>
    </w:rPr>
  </w:style>
  <w:style w:type="character" w:styleId="Hyperlink">
    <w:name w:val="Hyperlink"/>
    <w:aliases w:val="Hyperlink T19"/>
    <w:basedOn w:val="DefaultParagraphFont"/>
    <w:uiPriority w:val="99"/>
    <w:rsid w:val="005B517A"/>
    <w:rPr>
      <w:rFonts w:ascii="Times New Roman" w:hAnsi="Times New Roman"/>
      <w:color w:val="auto"/>
      <w:sz w:val="17"/>
      <w:u w:val="none"/>
    </w:rPr>
  </w:style>
  <w:style w:type="character" w:customStyle="1" w:styleId="UnresolvedMention1">
    <w:name w:val="Unresolved Mention1"/>
    <w:basedOn w:val="DefaultParagraphFont"/>
    <w:uiPriority w:val="99"/>
    <w:semiHidden/>
    <w:unhideWhenUsed/>
    <w:rsid w:val="005B517A"/>
    <w:rPr>
      <w:color w:val="605E5C"/>
      <w:shd w:val="clear" w:color="auto" w:fill="E1DFDD"/>
    </w:rPr>
  </w:style>
  <w:style w:type="paragraph" w:styleId="Header">
    <w:name w:val="header"/>
    <w:aliases w:val="Header T19"/>
    <w:basedOn w:val="Normal"/>
    <w:link w:val="HeaderChar"/>
    <w:uiPriority w:val="99"/>
    <w:unhideWhenUsed/>
    <w:rsid w:val="005B517A"/>
    <w:pPr>
      <w:tabs>
        <w:tab w:val="center" w:pos="2880"/>
        <w:tab w:val="center" w:pos="6480"/>
      </w:tabs>
    </w:pPr>
  </w:style>
  <w:style w:type="character" w:customStyle="1" w:styleId="HeaderChar">
    <w:name w:val="Header Char"/>
    <w:aliases w:val="Header T19 Char"/>
    <w:basedOn w:val="DefaultParagraphFont"/>
    <w:link w:val="Header"/>
    <w:uiPriority w:val="99"/>
    <w:rsid w:val="005B517A"/>
    <w:rPr>
      <w:rFonts w:cstheme="minorBidi"/>
      <w:kern w:val="0"/>
      <w:sz w:val="21"/>
      <w:szCs w:val="22"/>
      <w14:ligatures w14:val="none"/>
    </w:rPr>
  </w:style>
  <w:style w:type="paragraph" w:styleId="Footer">
    <w:name w:val="footer"/>
    <w:basedOn w:val="Normal"/>
    <w:link w:val="FooterChar"/>
    <w:uiPriority w:val="99"/>
    <w:unhideWhenUsed/>
    <w:rsid w:val="005B517A"/>
    <w:pPr>
      <w:tabs>
        <w:tab w:val="center" w:pos="4680"/>
        <w:tab w:val="right" w:pos="9360"/>
      </w:tabs>
    </w:pPr>
  </w:style>
  <w:style w:type="character" w:customStyle="1" w:styleId="FooterChar">
    <w:name w:val="Footer Char"/>
    <w:basedOn w:val="DefaultParagraphFont"/>
    <w:link w:val="Footer"/>
    <w:uiPriority w:val="99"/>
    <w:rsid w:val="005B517A"/>
    <w:rPr>
      <w:rFonts w:cstheme="minorBidi"/>
      <w:kern w:val="0"/>
      <w:sz w:val="21"/>
      <w:szCs w:val="22"/>
      <w14:ligatures w14:val="none"/>
    </w:rPr>
  </w:style>
  <w:style w:type="paragraph" w:styleId="TOC1">
    <w:name w:val="toc 1"/>
    <w:aliases w:val="TOC 1 T19"/>
    <w:basedOn w:val="Normal"/>
    <w:next w:val="Normal"/>
    <w:autoRedefine/>
    <w:uiPriority w:val="39"/>
    <w:rsid w:val="000B33A6"/>
    <w:pPr>
      <w:tabs>
        <w:tab w:val="left" w:pos="360"/>
        <w:tab w:val="left" w:pos="480"/>
        <w:tab w:val="right" w:leader="dot" w:pos="6470"/>
        <w:tab w:val="right" w:leader="dot" w:pos="9350"/>
      </w:tabs>
      <w:spacing w:before="240"/>
      <w:ind w:left="360" w:right="432" w:hanging="360"/>
    </w:pPr>
    <w:rPr>
      <w:smallCaps/>
    </w:rPr>
  </w:style>
  <w:style w:type="paragraph" w:styleId="TOC2">
    <w:name w:val="toc 2"/>
    <w:aliases w:val="TOC 2 T19"/>
    <w:basedOn w:val="Normal"/>
    <w:next w:val="Normal"/>
    <w:uiPriority w:val="39"/>
    <w:rsid w:val="000B33A6"/>
    <w:pPr>
      <w:tabs>
        <w:tab w:val="left" w:pos="720"/>
        <w:tab w:val="right" w:leader="dot" w:pos="6480"/>
        <w:tab w:val="right" w:leader="dot" w:pos="9350"/>
      </w:tabs>
      <w:ind w:left="720" w:right="432" w:hanging="360"/>
    </w:pPr>
    <w:rPr>
      <w:i/>
    </w:rPr>
  </w:style>
  <w:style w:type="paragraph" w:styleId="TOC3">
    <w:name w:val="toc 3"/>
    <w:aliases w:val="TOC 3 T19"/>
    <w:basedOn w:val="Normal"/>
    <w:next w:val="Normal"/>
    <w:autoRedefine/>
    <w:uiPriority w:val="39"/>
    <w:rsid w:val="005B517A"/>
    <w:pPr>
      <w:tabs>
        <w:tab w:val="left" w:pos="1080"/>
        <w:tab w:val="right" w:leader="dot" w:pos="6470"/>
      </w:tabs>
      <w:ind w:left="1080" w:right="432" w:hanging="360"/>
    </w:pPr>
    <w:rPr>
      <w:i/>
    </w:rPr>
  </w:style>
  <w:style w:type="paragraph" w:styleId="TOC4">
    <w:name w:val="toc 4"/>
    <w:aliases w:val="TOC 4 T19"/>
    <w:basedOn w:val="Normal"/>
    <w:next w:val="Normal"/>
    <w:autoRedefine/>
    <w:uiPriority w:val="39"/>
    <w:rsid w:val="005B517A"/>
    <w:pPr>
      <w:tabs>
        <w:tab w:val="left" w:pos="1440"/>
        <w:tab w:val="right" w:leader="dot" w:pos="6480"/>
      </w:tabs>
      <w:ind w:left="1440" w:right="432" w:hanging="360"/>
    </w:pPr>
    <w:rPr>
      <w:i/>
    </w:rPr>
  </w:style>
  <w:style w:type="paragraph" w:styleId="TOC5">
    <w:name w:val="toc 5"/>
    <w:aliases w:val="TOC 5 T19"/>
    <w:basedOn w:val="Normal"/>
    <w:next w:val="Normal"/>
    <w:autoRedefine/>
    <w:uiPriority w:val="39"/>
    <w:rsid w:val="005B517A"/>
    <w:pPr>
      <w:tabs>
        <w:tab w:val="left" w:pos="1540"/>
        <w:tab w:val="left" w:pos="1800"/>
        <w:tab w:val="right" w:leader="dot" w:pos="6470"/>
      </w:tabs>
      <w:ind w:left="1800" w:right="432" w:hanging="360"/>
    </w:pPr>
    <w:rPr>
      <w:i/>
    </w:rPr>
  </w:style>
  <w:style w:type="paragraph" w:styleId="TOC6">
    <w:name w:val="toc 6"/>
    <w:aliases w:val="TOC 6 T19"/>
    <w:basedOn w:val="Normal"/>
    <w:next w:val="Normal"/>
    <w:autoRedefine/>
    <w:uiPriority w:val="39"/>
    <w:rsid w:val="005B517A"/>
    <w:pPr>
      <w:tabs>
        <w:tab w:val="left" w:pos="2160"/>
        <w:tab w:val="right" w:leader="dot" w:pos="6480"/>
      </w:tabs>
      <w:ind w:left="1800" w:firstLine="0"/>
    </w:pPr>
    <w:rPr>
      <w:i/>
    </w:rPr>
  </w:style>
  <w:style w:type="paragraph" w:styleId="TOC7">
    <w:name w:val="toc 7"/>
    <w:aliases w:val="TOC 7 T19"/>
    <w:basedOn w:val="Normal"/>
    <w:next w:val="Normal"/>
    <w:autoRedefine/>
    <w:uiPriority w:val="39"/>
    <w:rsid w:val="005B517A"/>
    <w:pPr>
      <w:tabs>
        <w:tab w:val="left" w:pos="1785"/>
        <w:tab w:val="left" w:pos="2520"/>
        <w:tab w:val="right" w:leader="dot" w:pos="6470"/>
      </w:tabs>
      <w:ind w:left="2160" w:firstLine="0"/>
    </w:pPr>
    <w:rPr>
      <w:i/>
    </w:rPr>
  </w:style>
  <w:style w:type="paragraph" w:styleId="ListParagraph">
    <w:name w:val="List Paragraph"/>
    <w:basedOn w:val="Normal"/>
    <w:uiPriority w:val="34"/>
    <w:qFormat/>
    <w:rsid w:val="005B517A"/>
    <w:pPr>
      <w:ind w:left="720" w:firstLine="0"/>
      <w:contextualSpacing/>
      <w:jc w:val="left"/>
    </w:pPr>
    <w:rPr>
      <w:rFonts w:asciiTheme="minorHAnsi" w:hAnsiTheme="minorHAnsi"/>
      <w:kern w:val="2"/>
      <w:sz w:val="24"/>
      <w:szCs w:val="24"/>
      <w14:ligatures w14:val="standardContextual"/>
    </w:rPr>
  </w:style>
  <w:style w:type="paragraph" w:styleId="ListBullet">
    <w:name w:val="List Bullet"/>
    <w:basedOn w:val="Normal"/>
    <w:uiPriority w:val="99"/>
    <w:unhideWhenUsed/>
    <w:rsid w:val="005B517A"/>
    <w:pPr>
      <w:numPr>
        <w:numId w:val="3"/>
      </w:numPr>
      <w:contextualSpacing/>
      <w:jc w:val="left"/>
    </w:pPr>
    <w:rPr>
      <w:rFonts w:asciiTheme="minorHAnsi" w:hAnsiTheme="minorHAnsi"/>
      <w:kern w:val="2"/>
      <w:sz w:val="24"/>
      <w:szCs w:val="24"/>
      <w14:ligatures w14:val="standardContextual"/>
    </w:rPr>
  </w:style>
  <w:style w:type="character" w:styleId="Strong">
    <w:name w:val="Strong"/>
    <w:basedOn w:val="DefaultParagraphFont"/>
    <w:uiPriority w:val="22"/>
    <w:qFormat/>
    <w:rsid w:val="005B517A"/>
    <w:rPr>
      <w:b/>
      <w:bCs/>
    </w:rPr>
  </w:style>
  <w:style w:type="character" w:styleId="Emphasis">
    <w:name w:val="Emphasis"/>
    <w:basedOn w:val="DefaultParagraphFont"/>
    <w:uiPriority w:val="20"/>
    <w:qFormat/>
    <w:rsid w:val="005B517A"/>
    <w:rPr>
      <w:i/>
      <w:iCs/>
    </w:rPr>
  </w:style>
  <w:style w:type="character" w:customStyle="1" w:styleId="costarpage">
    <w:name w:val="co_starpage"/>
    <w:basedOn w:val="DefaultParagraphFont"/>
    <w:rsid w:val="005B517A"/>
  </w:style>
  <w:style w:type="character" w:styleId="CommentReference">
    <w:name w:val="annotation reference"/>
    <w:basedOn w:val="DefaultParagraphFont"/>
    <w:uiPriority w:val="99"/>
    <w:semiHidden/>
    <w:unhideWhenUsed/>
    <w:rsid w:val="005B517A"/>
    <w:rPr>
      <w:sz w:val="16"/>
      <w:szCs w:val="16"/>
    </w:rPr>
  </w:style>
  <w:style w:type="paragraph" w:styleId="CommentText">
    <w:name w:val="annotation text"/>
    <w:basedOn w:val="Normal"/>
    <w:link w:val="CommentTextChar"/>
    <w:uiPriority w:val="99"/>
    <w:unhideWhenUsed/>
    <w:rsid w:val="005B517A"/>
    <w:pPr>
      <w:ind w:firstLine="0"/>
      <w:jc w:val="left"/>
    </w:pPr>
    <w:rPr>
      <w:rFonts w:asciiTheme="minorHAnsi" w:hAnsiTheme="minorHAnsi"/>
      <w:kern w:val="2"/>
      <w:sz w:val="20"/>
      <w:szCs w:val="20"/>
      <w14:ligatures w14:val="standardContextual"/>
    </w:rPr>
  </w:style>
  <w:style w:type="character" w:customStyle="1" w:styleId="CommentTextChar">
    <w:name w:val="Comment Text Char"/>
    <w:basedOn w:val="DefaultParagraphFont"/>
    <w:link w:val="CommentText"/>
    <w:uiPriority w:val="99"/>
    <w:rsid w:val="005B517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B517A"/>
    <w:rPr>
      <w:b/>
      <w:bCs/>
    </w:rPr>
  </w:style>
  <w:style w:type="character" w:customStyle="1" w:styleId="CommentSubjectChar">
    <w:name w:val="Comment Subject Char"/>
    <w:basedOn w:val="CommentTextChar"/>
    <w:link w:val="CommentSubject"/>
    <w:uiPriority w:val="99"/>
    <w:semiHidden/>
    <w:rsid w:val="005B517A"/>
    <w:rPr>
      <w:rFonts w:asciiTheme="minorHAnsi" w:hAnsiTheme="minorHAnsi" w:cstheme="minorBidi"/>
      <w:b/>
      <w:bCs/>
      <w:sz w:val="20"/>
      <w:szCs w:val="20"/>
    </w:rPr>
  </w:style>
  <w:style w:type="paragraph" w:styleId="Revision">
    <w:name w:val="Revision"/>
    <w:hidden/>
    <w:uiPriority w:val="99"/>
    <w:semiHidden/>
    <w:rsid w:val="005B517A"/>
    <w:rPr>
      <w:rFonts w:asciiTheme="minorHAnsi" w:hAnsiTheme="minorHAnsi" w:cstheme="minorBidi"/>
    </w:rPr>
  </w:style>
  <w:style w:type="character" w:styleId="PageNumber">
    <w:name w:val="page number"/>
    <w:basedOn w:val="DefaultParagraphFont"/>
    <w:uiPriority w:val="99"/>
    <w:semiHidden/>
    <w:unhideWhenUsed/>
    <w:rsid w:val="005B517A"/>
  </w:style>
  <w:style w:type="paragraph" w:customStyle="1" w:styleId="psection-3">
    <w:name w:val="psection-3"/>
    <w:basedOn w:val="Normal"/>
    <w:rsid w:val="005B517A"/>
    <w:pPr>
      <w:spacing w:before="100" w:beforeAutospacing="1" w:after="100" w:afterAutospacing="1"/>
      <w:ind w:firstLine="0"/>
      <w:jc w:val="left"/>
    </w:pPr>
    <w:rPr>
      <w:rFonts w:eastAsia="Times New Roman" w:cs="Times New Roman"/>
      <w:sz w:val="24"/>
      <w:szCs w:val="24"/>
    </w:rPr>
  </w:style>
  <w:style w:type="character" w:customStyle="1" w:styleId="enumxml">
    <w:name w:val="enumxml"/>
    <w:basedOn w:val="DefaultParagraphFont"/>
    <w:rsid w:val="005B517A"/>
  </w:style>
  <w:style w:type="character" w:customStyle="1" w:styleId="et03">
    <w:name w:val="et03"/>
    <w:basedOn w:val="DefaultParagraphFont"/>
    <w:rsid w:val="005B517A"/>
  </w:style>
  <w:style w:type="paragraph" w:customStyle="1" w:styleId="psection-4">
    <w:name w:val="psection-4"/>
    <w:basedOn w:val="Normal"/>
    <w:rsid w:val="005B517A"/>
    <w:pPr>
      <w:spacing w:before="100" w:beforeAutospacing="1" w:after="100" w:afterAutospacing="1"/>
      <w:ind w:firstLine="0"/>
      <w:jc w:val="left"/>
    </w:pPr>
    <w:rPr>
      <w:rFonts w:eastAsia="Times New Roman" w:cs="Times New Roman"/>
      <w:sz w:val="24"/>
      <w:szCs w:val="24"/>
    </w:rPr>
  </w:style>
  <w:style w:type="paragraph" w:styleId="TOCHeading">
    <w:name w:val="TOC Heading"/>
    <w:basedOn w:val="Heading1"/>
    <w:next w:val="Normal"/>
    <w:uiPriority w:val="39"/>
    <w:unhideWhenUsed/>
    <w:qFormat/>
    <w:rsid w:val="005B517A"/>
    <w:pPr>
      <w:keepLines/>
      <w:tabs>
        <w:tab w:val="clear" w:pos="360"/>
      </w:tabs>
      <w:spacing w:before="480" w:after="0" w:line="276" w:lineRule="auto"/>
      <w:ind w:left="0" w:firstLine="0"/>
      <w:jc w:val="left"/>
      <w:outlineLvl w:val="9"/>
    </w:pPr>
    <w:rPr>
      <w:rFonts w:asciiTheme="majorHAnsi" w:hAnsiTheme="majorHAnsi"/>
      <w:b/>
      <w:bCs/>
      <w:smallCaps w:val="0"/>
      <w:color w:val="2F5496" w:themeColor="accent1" w:themeShade="BF"/>
      <w:sz w:val="28"/>
      <w:szCs w:val="28"/>
    </w:rPr>
  </w:style>
  <w:style w:type="paragraph" w:styleId="TOC8">
    <w:name w:val="toc 8"/>
    <w:basedOn w:val="Normal"/>
    <w:next w:val="Normal"/>
    <w:autoRedefine/>
    <w:uiPriority w:val="39"/>
    <w:semiHidden/>
    <w:unhideWhenUsed/>
    <w:rsid w:val="005B517A"/>
    <w:pPr>
      <w:ind w:left="1680" w:firstLine="0"/>
      <w:jc w:val="left"/>
    </w:pPr>
    <w:rPr>
      <w:rFonts w:asciiTheme="minorHAnsi" w:hAnsiTheme="minorHAnsi" w:cstheme="minorHAnsi"/>
      <w:kern w:val="2"/>
      <w:sz w:val="20"/>
      <w:szCs w:val="20"/>
      <w14:ligatures w14:val="standardContextual"/>
    </w:rPr>
  </w:style>
  <w:style w:type="paragraph" w:styleId="TOC9">
    <w:name w:val="toc 9"/>
    <w:basedOn w:val="Normal"/>
    <w:next w:val="Normal"/>
    <w:autoRedefine/>
    <w:uiPriority w:val="39"/>
    <w:semiHidden/>
    <w:unhideWhenUsed/>
    <w:rsid w:val="005B517A"/>
    <w:pPr>
      <w:ind w:left="1920" w:firstLine="0"/>
      <w:jc w:val="left"/>
    </w:pPr>
    <w:rPr>
      <w:rFonts w:asciiTheme="minorHAnsi" w:hAnsiTheme="minorHAnsi" w:cstheme="minorHAnsi"/>
      <w:kern w:val="2"/>
      <w:sz w:val="20"/>
      <w:szCs w:val="20"/>
      <w14:ligatures w14:val="standardContextual"/>
    </w:rPr>
  </w:style>
  <w:style w:type="paragraph" w:styleId="EndnoteText">
    <w:name w:val="endnote text"/>
    <w:basedOn w:val="Normal"/>
    <w:link w:val="EndnoteTextChar"/>
    <w:uiPriority w:val="99"/>
    <w:semiHidden/>
    <w:unhideWhenUsed/>
    <w:rsid w:val="005B517A"/>
    <w:rPr>
      <w:sz w:val="20"/>
      <w:szCs w:val="20"/>
    </w:rPr>
  </w:style>
  <w:style w:type="character" w:customStyle="1" w:styleId="EndnoteTextChar">
    <w:name w:val="Endnote Text Char"/>
    <w:basedOn w:val="DefaultParagraphFont"/>
    <w:link w:val="EndnoteText"/>
    <w:uiPriority w:val="99"/>
    <w:semiHidden/>
    <w:rsid w:val="005B517A"/>
    <w:rPr>
      <w:rFonts w:cstheme="minorBidi"/>
      <w:kern w:val="0"/>
      <w:sz w:val="20"/>
      <w:szCs w:val="20"/>
      <w14:ligatures w14:val="none"/>
    </w:rPr>
  </w:style>
  <w:style w:type="character" w:styleId="EndnoteReference">
    <w:name w:val="endnote reference"/>
    <w:basedOn w:val="DefaultParagraphFont"/>
    <w:uiPriority w:val="99"/>
    <w:semiHidden/>
    <w:unhideWhenUsed/>
    <w:rsid w:val="005B517A"/>
    <w:rPr>
      <w:vertAlign w:val="superscript"/>
    </w:rPr>
  </w:style>
  <w:style w:type="character" w:customStyle="1" w:styleId="normaltextrun">
    <w:name w:val="normaltextrun"/>
    <w:basedOn w:val="DefaultParagraphFont"/>
    <w:rsid w:val="009D0075"/>
  </w:style>
  <w:style w:type="character" w:customStyle="1" w:styleId="eop">
    <w:name w:val="eop"/>
    <w:basedOn w:val="DefaultParagraphFont"/>
    <w:rsid w:val="009D0075"/>
  </w:style>
  <w:style w:type="paragraph" w:styleId="BalloonText">
    <w:name w:val="Balloon Text"/>
    <w:basedOn w:val="Normal"/>
    <w:link w:val="BalloonTextChar"/>
    <w:uiPriority w:val="99"/>
    <w:semiHidden/>
    <w:unhideWhenUsed/>
    <w:rsid w:val="00CC2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68"/>
    <w:rPr>
      <w:rFonts w:ascii="Segoe UI" w:hAnsi="Segoe UI" w:cs="Segoe UI"/>
      <w:kern w:val="0"/>
      <w:sz w:val="18"/>
      <w:szCs w:val="18"/>
      <w14:ligatures w14:val="none"/>
    </w:rPr>
  </w:style>
  <w:style w:type="character" w:styleId="UnresolvedMention">
    <w:name w:val="Unresolved Mention"/>
    <w:basedOn w:val="DefaultParagraphFont"/>
    <w:uiPriority w:val="99"/>
    <w:semiHidden/>
    <w:unhideWhenUsed/>
    <w:rsid w:val="00AA0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aptiveinsurancetimes.com/captiveinsurancenews/industryarticle.php?article_id=8508&amp;navigationaction=industrynews&amp;newssection=industry" TargetMode="External"/><Relationship Id="rId1" Type="http://schemas.openxmlformats.org/officeDocument/2006/relationships/hyperlink" Target="https://www.captiveinternational.com/news/tcia-submits-comments-to-irs-on-micr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136F48999F049ACB7F54D28949E18" ma:contentTypeVersion="16" ma:contentTypeDescription="Create a new document." ma:contentTypeScope="" ma:versionID="6f97f40b92c494dacf1dd12d29cfb62f">
  <xsd:schema xmlns:xsd="http://www.w3.org/2001/XMLSchema" xmlns:xs="http://www.w3.org/2001/XMLSchema" xmlns:p="http://schemas.microsoft.com/office/2006/metadata/properties" xmlns:ns2="b53231a9-826d-445b-bce6-93811198a500" xmlns:ns3="981b6a10-b4db-45d9-963a-85e2d1bb2e35" targetNamespace="http://schemas.microsoft.com/office/2006/metadata/properties" ma:root="true" ma:fieldsID="14d002e501e15bcc255da5feb6ca515e" ns2:_="" ns3:_="">
    <xsd:import namespace="b53231a9-826d-445b-bce6-93811198a500"/>
    <xsd:import namespace="981b6a10-b4db-45d9-963a-85e2d1bb2e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231a9-826d-445b-bce6-93811198a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eb1200-ba6e-4cde-9974-9e593fd12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b6a10-b4db-45d9-963a-85e2d1bb2e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b4983e-d88f-45e9-8bd8-bc08c574a4cb}" ma:internalName="TaxCatchAll" ma:showField="CatchAllData" ma:web="981b6a10-b4db-45d9-963a-85e2d1bb2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1b6a10-b4db-45d9-963a-85e2d1bb2e35" xsi:nil="true"/>
    <lcf76f155ced4ddcb4097134ff3c332f xmlns="b53231a9-826d-445b-bce6-93811198a5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F76524-75EB-4FD1-A663-43345E40C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231a9-826d-445b-bce6-93811198a500"/>
    <ds:schemaRef ds:uri="981b6a10-b4db-45d9-963a-85e2d1bb2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F4315-5D6C-4CEA-B194-78B0405B7295}">
  <ds:schemaRefs>
    <ds:schemaRef ds:uri="http://schemas.microsoft.com/sharepoint/v3/contenttype/forms"/>
  </ds:schemaRefs>
</ds:datastoreItem>
</file>

<file path=customXml/itemProps3.xml><?xml version="1.0" encoding="utf-8"?>
<ds:datastoreItem xmlns:ds="http://schemas.openxmlformats.org/officeDocument/2006/customXml" ds:itemID="{80CCD9F0-862F-4873-971C-8B3C3249A096}">
  <ds:schemaRefs>
    <ds:schemaRef ds:uri="http://schemas.openxmlformats.org/officeDocument/2006/bibliography"/>
  </ds:schemaRefs>
</ds:datastoreItem>
</file>

<file path=customXml/itemProps4.xml><?xml version="1.0" encoding="utf-8"?>
<ds:datastoreItem xmlns:ds="http://schemas.openxmlformats.org/officeDocument/2006/customXml" ds:itemID="{AF09960C-30D6-471D-8E2A-8C8DBD3A0E63}">
  <ds:schemaRefs>
    <ds:schemaRef ds:uri="http://schemas.microsoft.com/office/2006/metadata/properties"/>
    <ds:schemaRef ds:uri="http://schemas.microsoft.com/office/infopath/2007/PartnerControls"/>
    <ds:schemaRef ds:uri="981b6a10-b4db-45d9-963a-85e2d1bb2e35"/>
    <ds:schemaRef ds:uri="b53231a9-826d-445b-bce6-93811198a5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7247</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 Steven</dc:creator>
  <cp:keywords/>
  <dc:description/>
  <cp:lastModifiedBy>Prof. Beckett G. Cantley</cp:lastModifiedBy>
  <cp:revision>2</cp:revision>
  <cp:lastPrinted>2023-10-23T21:05:00Z</cp:lastPrinted>
  <dcterms:created xsi:type="dcterms:W3CDTF">2024-02-28T22:12:00Z</dcterms:created>
  <dcterms:modified xsi:type="dcterms:W3CDTF">2024-02-28T22:12:00Z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0x0101001B2136F48999F049ACB7F54D28949E18</vt:lpwstr>
  </property>
  <property fmtid="{D5CDD505-2E9C-101B-9397-08002B2CF9AE}" pid="3" name="MediaServiceImageTags">
    <vt:lpwstr/>
  </property>
  <property fmtid="{D5CDD505-2E9C-101B-9397-08002B2CF9AE}" pid="4" name="GrammarlyDocumentId">
    <vt:lpwstr>46367e73111750a07976e488555959a1c0aa4abf8cae5c7d9da2df892d449ed8</vt:lpwstr>
  </property>
</Properties>
</file>